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E00984" w14:textId="77777777" w:rsidR="00CC1659" w:rsidRPr="00CC1659" w:rsidRDefault="00CC1659" w:rsidP="00CC1659">
      <w:pPr>
        <w:keepNext/>
        <w:tabs>
          <w:tab w:val="left" w:pos="8505"/>
        </w:tabs>
        <w:spacing w:after="0"/>
        <w:ind w:right="-754"/>
        <w:outlineLvl w:val="7"/>
        <w:rPr>
          <w:rFonts w:cs="Times New Roman"/>
          <w:b/>
          <w:bCs/>
          <w:lang w:val="fr"/>
        </w:rPr>
      </w:pPr>
      <w:bookmarkStart w:id="0" w:name="OLE_LINK1"/>
      <w:bookmarkStart w:id="1" w:name="OLE_LINK2"/>
      <w:bookmarkStart w:id="2" w:name="_GoBack"/>
      <w:bookmarkEnd w:id="2"/>
      <w:r w:rsidRPr="00CC1659">
        <w:rPr>
          <w:rFonts w:cs="Times New Roman"/>
          <w:b/>
          <w:bCs/>
          <w:lang w:val="fr"/>
        </w:rPr>
        <w:t xml:space="preserve">TREIZIÈME RÉUNION DES MINISTRES </w:t>
      </w:r>
    </w:p>
    <w:p w14:paraId="67D9B7F6" w14:textId="0F574822" w:rsidR="00CC1659" w:rsidRPr="00EE63F9" w:rsidRDefault="00CC1659" w:rsidP="00EE63F9">
      <w:pPr>
        <w:tabs>
          <w:tab w:val="left" w:pos="8505"/>
        </w:tabs>
        <w:spacing w:after="0"/>
        <w:ind w:right="-754"/>
        <w:rPr>
          <w:rFonts w:cs="Times New Roman"/>
          <w:b/>
          <w:bCs/>
          <w:lang w:val="fr"/>
        </w:rPr>
      </w:pPr>
      <w:r w:rsidRPr="00CC1659">
        <w:rPr>
          <w:rFonts w:cs="Times New Roman"/>
          <w:b/>
          <w:bCs/>
          <w:lang w:val="fr"/>
        </w:rPr>
        <w:t xml:space="preserve">DE LA SANTÉ DES PAYS OCÉANIENS                                           </w:t>
      </w:r>
      <w:r w:rsidR="00EE63F9">
        <w:rPr>
          <w:rFonts w:cs="Times New Roman"/>
          <w:b/>
          <w:bCs/>
          <w:lang w:val="fr"/>
        </w:rPr>
        <w:t>PIC13/S7/1/</w:t>
      </w:r>
      <w:r w:rsidR="00EE63F9" w:rsidRPr="00EE63F9">
        <w:rPr>
          <w:rFonts w:cs="Times New Roman"/>
          <w:b/>
          <w:bCs/>
          <w:lang w:val="fr"/>
        </w:rPr>
        <w:t>Info</w:t>
      </w:r>
    </w:p>
    <w:p w14:paraId="2DDB329A" w14:textId="55134E51" w:rsidR="00CC1659" w:rsidRPr="00CC1659" w:rsidRDefault="00CC1659" w:rsidP="00CC1659">
      <w:pPr>
        <w:keepNext/>
        <w:tabs>
          <w:tab w:val="left" w:pos="8505"/>
        </w:tabs>
        <w:spacing w:after="0"/>
        <w:ind w:right="-754"/>
        <w:outlineLvl w:val="7"/>
        <w:rPr>
          <w:rFonts w:eastAsia="Malgun Gothic" w:cs="Times New Roman"/>
          <w:b/>
          <w:bCs/>
          <w:lang w:val="fr-FR"/>
        </w:rPr>
      </w:pPr>
      <w:r w:rsidRPr="00CC1659">
        <w:rPr>
          <w:rFonts w:eastAsia="Malgun Gothic" w:cs="Times New Roman"/>
          <w:b/>
          <w:bCs/>
          <w:lang w:val="fr"/>
        </w:rPr>
        <w:t xml:space="preserve">Papeete (Polynésie française)                                   </w:t>
      </w:r>
      <w:r w:rsidR="00A42D85">
        <w:rPr>
          <w:rFonts w:eastAsia="Malgun Gothic" w:cs="Times New Roman"/>
          <w:b/>
          <w:bCs/>
          <w:lang w:val="fr"/>
        </w:rPr>
        <w:t xml:space="preserve">                              27</w:t>
      </w:r>
      <w:r w:rsidRPr="00CC1659">
        <w:rPr>
          <w:rFonts w:eastAsia="Malgun Gothic" w:cs="Times New Roman"/>
          <w:b/>
          <w:bCs/>
          <w:lang w:val="fr"/>
        </w:rPr>
        <w:t xml:space="preserve"> juin 2019</w:t>
      </w:r>
    </w:p>
    <w:p w14:paraId="3B74A52E" w14:textId="035A233D" w:rsidR="00091380" w:rsidRPr="00EE63F9" w:rsidRDefault="00CC1659" w:rsidP="00CC1659">
      <w:pPr>
        <w:tabs>
          <w:tab w:val="left" w:pos="6300"/>
        </w:tabs>
        <w:spacing w:after="0"/>
        <w:rPr>
          <w:rFonts w:eastAsia="Malgun Gothic" w:cs="Times New Roman"/>
          <w:b/>
          <w:lang w:val="fr-FR"/>
        </w:rPr>
      </w:pPr>
      <w:r w:rsidRPr="00CC1659">
        <w:rPr>
          <w:rFonts w:eastAsia="Malgun Gothic" w:cs="Times New Roman"/>
          <w:b/>
          <w:bCs/>
          <w:lang w:val="fr"/>
        </w:rPr>
        <w:t>6–8 août 2019</w:t>
      </w:r>
      <w:r w:rsidRPr="00CC1659">
        <w:rPr>
          <w:rFonts w:eastAsia="Malgun Gothic" w:cs="Times New Roman"/>
          <w:lang w:val="fr"/>
        </w:rPr>
        <w:tab/>
      </w:r>
      <w:r w:rsidRPr="00CC1659">
        <w:rPr>
          <w:rFonts w:eastAsia="Malgun Gothic" w:cs="Times New Roman"/>
          <w:b/>
          <w:bCs/>
          <w:lang w:val="fr"/>
        </w:rPr>
        <w:t>ORIGINAL : ANGLAIS</w:t>
      </w:r>
    </w:p>
    <w:p w14:paraId="04F1988D" w14:textId="603925D7" w:rsidR="00694D51" w:rsidRPr="001D1BDD" w:rsidRDefault="00694D51" w:rsidP="00667E24">
      <w:pPr>
        <w:pStyle w:val="Heading1"/>
        <w:rPr>
          <w:lang w:val="fr-FR"/>
        </w:rPr>
      </w:pPr>
      <w:r w:rsidRPr="001D1BDD">
        <w:rPr>
          <w:lang w:val="fr"/>
        </w:rPr>
        <w:t>RAPPORT DE SITUATION SUR LA CYBERSANTÉ ET LES SYSTÈMES D'INFORMATION SANITAIRE DANS LE PACIFIQUE</w:t>
      </w:r>
    </w:p>
    <w:bookmarkEnd w:id="0"/>
    <w:bookmarkEnd w:id="1"/>
    <w:p w14:paraId="59C6903E" w14:textId="6D5FF5A9" w:rsidR="00426C42" w:rsidRPr="00EF692A" w:rsidRDefault="00BD60F7" w:rsidP="00667E24">
      <w:pPr>
        <w:pStyle w:val="Heading1"/>
        <w:rPr>
          <w:lang w:val="fr-FR"/>
        </w:rPr>
      </w:pPr>
      <w:r>
        <w:rPr>
          <w:lang w:val="fr"/>
        </w:rPr>
        <w:t xml:space="preserve">1.  CONTEXTE </w:t>
      </w:r>
    </w:p>
    <w:p w14:paraId="46D17E21" w14:textId="605F02BF" w:rsidR="000E15C6" w:rsidRPr="00C2283D" w:rsidRDefault="000E15C6" w:rsidP="00667E24">
      <w:pPr>
        <w:rPr>
          <w:lang w:val="fr-FR"/>
        </w:rPr>
      </w:pPr>
      <w:r w:rsidRPr="00C2283D">
        <w:rPr>
          <w:lang w:val="fr"/>
        </w:rPr>
        <w:t xml:space="preserve">L'Organisation mondiale de la Santé (OMS) définit la </w:t>
      </w:r>
      <w:proofErr w:type="spellStart"/>
      <w:r w:rsidRPr="00C2283D">
        <w:rPr>
          <w:lang w:val="fr"/>
        </w:rPr>
        <w:t>cybersanté</w:t>
      </w:r>
      <w:proofErr w:type="spellEnd"/>
      <w:r w:rsidRPr="00C2283D">
        <w:rPr>
          <w:lang w:val="fr"/>
        </w:rPr>
        <w:t xml:space="preserve"> (e-santé</w:t>
      </w:r>
      <w:r w:rsidRPr="00C2283D">
        <w:rPr>
          <w:vertAlign w:val="superscript"/>
          <w:lang w:val="fr"/>
        </w:rPr>
        <w:footnoteReference w:id="1"/>
      </w:r>
      <w:r w:rsidRPr="00C2283D">
        <w:rPr>
          <w:lang w:val="fr"/>
        </w:rPr>
        <w:t xml:space="preserve">) comme l'utilisation des technologies de l'information et de communication (TIC) dans le domaine de la santé. Utiliser les TIC pour promouvoir, soutenir et renforcer l'intégralité du continuum en soins de santé, l'e-santé est à la fois pluridisciplinaire et innovante. </w:t>
      </w:r>
    </w:p>
    <w:p w14:paraId="6DE09B6A" w14:textId="0F999FDB" w:rsidR="000E15C6" w:rsidRPr="00C2283D" w:rsidRDefault="000E15C6" w:rsidP="00667E24">
      <w:pPr>
        <w:rPr>
          <w:lang w:val="fr-FR"/>
        </w:rPr>
      </w:pPr>
      <w:r w:rsidRPr="00C2283D">
        <w:rPr>
          <w:lang w:val="fr"/>
        </w:rPr>
        <w:t>Ce qui rend le développement des TIC dans la</w:t>
      </w:r>
      <w:r w:rsidR="005C0F75">
        <w:rPr>
          <w:lang w:val="fr"/>
        </w:rPr>
        <w:t xml:space="preserve"> Région </w:t>
      </w:r>
      <w:r w:rsidRPr="00C2283D">
        <w:rPr>
          <w:lang w:val="fr"/>
        </w:rPr>
        <w:t>Pacifique significatif est le nombre de possibilités sans fin permettant de s'attaquer aux barrières démographiques, géographiques et économiques. À l'inverse, les complications liées à l'évolution rapide des TIC, les questions d'ordre juridique et réglementaire (telles que la fracture numérique</w:t>
      </w:r>
      <w:r w:rsidRPr="00C2283D">
        <w:rPr>
          <w:rStyle w:val="FootnoteReference"/>
          <w:rFonts w:asciiTheme="minorHAnsi" w:hAnsiTheme="minorHAnsi"/>
          <w:lang w:val="fr"/>
        </w:rPr>
        <w:footnoteReference w:id="2"/>
      </w:r>
      <w:r w:rsidRPr="00C2283D">
        <w:rPr>
          <w:lang w:val="fr"/>
        </w:rPr>
        <w:t>) présentent des défis à l'avancée de l'e-santé.</w:t>
      </w:r>
    </w:p>
    <w:p w14:paraId="5B1A438C" w14:textId="679C46E5" w:rsidR="00EC7B22" w:rsidRPr="00C2283D" w:rsidRDefault="00954F56" w:rsidP="00667E24">
      <w:pPr>
        <w:rPr>
          <w:bCs/>
          <w:lang w:val="fr-FR"/>
        </w:rPr>
      </w:pPr>
      <w:r w:rsidRPr="00C2283D">
        <w:rPr>
          <w:lang w:val="fr"/>
        </w:rPr>
        <w:t xml:space="preserve">Les </w:t>
      </w:r>
      <w:r w:rsidR="00304BCD">
        <w:rPr>
          <w:lang w:val="fr"/>
        </w:rPr>
        <w:t>États et Territoires insulaires du Pacifique</w:t>
      </w:r>
      <w:r w:rsidRPr="00C2283D">
        <w:rPr>
          <w:lang w:val="fr"/>
        </w:rPr>
        <w:t xml:space="preserve"> se retrouvent face à la question de définir la manière de planifier, d'adopter et de maintenir le recours à l'e-santé pour améliorer la santé des personnes et les services sanitaires. Les défis que pose le développement de l'e-santé, tel que l'établissement d'identifiants uniques, la sélection des outils ou logiciels appropriés et l'accès à un financement durable, pourrait être mieux géré au niveau </w:t>
      </w:r>
      <w:r w:rsidR="00ED7AA6" w:rsidRPr="00C2283D">
        <w:rPr>
          <w:lang w:val="fr"/>
        </w:rPr>
        <w:t>régional</w:t>
      </w:r>
      <w:r w:rsidRPr="00C2283D">
        <w:rPr>
          <w:lang w:val="fr"/>
        </w:rPr>
        <w:t xml:space="preserve">, et si mené correctement, avec l'orientation et l'appui des organisations et des réseaux régionaux pour les pays aux capacités contraintes. </w:t>
      </w:r>
    </w:p>
    <w:p w14:paraId="199E355E" w14:textId="2797B0E4" w:rsidR="009E0188" w:rsidRPr="00EF692A" w:rsidRDefault="00BD60F7" w:rsidP="00667E24">
      <w:pPr>
        <w:pStyle w:val="Heading1"/>
        <w:rPr>
          <w:lang w:val="fr-FR"/>
        </w:rPr>
      </w:pPr>
      <w:r>
        <w:rPr>
          <w:lang w:val="fr"/>
        </w:rPr>
        <w:t>2.  PROGRÈS ET RÉALISATIONS</w:t>
      </w:r>
    </w:p>
    <w:p w14:paraId="65721304" w14:textId="02CF2053" w:rsidR="00C47946" w:rsidRPr="00720F37" w:rsidRDefault="0034453B" w:rsidP="00667E24">
      <w:pPr>
        <w:pStyle w:val="Heading2"/>
        <w:rPr>
          <w:lang w:val="fr-FR"/>
        </w:rPr>
      </w:pPr>
      <w:r w:rsidRPr="00720F37">
        <w:rPr>
          <w:lang w:val="fr"/>
        </w:rPr>
        <w:t>2.1 Systèmes d'information sanitaire et e-santé</w:t>
      </w:r>
    </w:p>
    <w:p w14:paraId="64505F4F" w14:textId="6F85C2DB" w:rsidR="00175CFD" w:rsidRPr="00720F37" w:rsidRDefault="007D7C16" w:rsidP="00667E24">
      <w:pPr>
        <w:rPr>
          <w:i/>
          <w:lang w:val="fr-FR"/>
        </w:rPr>
      </w:pPr>
      <w:r w:rsidRPr="00720F37">
        <w:rPr>
          <w:lang w:val="fr"/>
        </w:rPr>
        <w:t xml:space="preserve">Les </w:t>
      </w:r>
      <w:r w:rsidR="00304BCD">
        <w:rPr>
          <w:lang w:val="fr"/>
        </w:rPr>
        <w:t>États et Territoires insulaires du Pacifique</w:t>
      </w:r>
      <w:r w:rsidR="004A3540" w:rsidRPr="00720F37">
        <w:rPr>
          <w:lang w:val="fr"/>
        </w:rPr>
        <w:t xml:space="preserve"> ont pris des mesures essentielles pour renforcer </w:t>
      </w:r>
      <w:proofErr w:type="gramStart"/>
      <w:r w:rsidR="004A3540" w:rsidRPr="00720F37">
        <w:rPr>
          <w:lang w:val="fr"/>
        </w:rPr>
        <w:t>les système</w:t>
      </w:r>
      <w:proofErr w:type="gramEnd"/>
      <w:r w:rsidR="004A3540" w:rsidRPr="00720F37">
        <w:rPr>
          <w:lang w:val="fr"/>
        </w:rPr>
        <w:t xml:space="preserve"> d'information sanitaire. Selon</w:t>
      </w:r>
      <w:r w:rsidR="00233659" w:rsidRPr="00720F37">
        <w:rPr>
          <w:lang w:val="fr"/>
        </w:rPr>
        <w:t xml:space="preserve"> </w:t>
      </w:r>
      <w:hyperlink r:id="rId9" w:history="1">
        <w:r w:rsidR="004A3540" w:rsidRPr="00720F37">
          <w:rPr>
            <w:rStyle w:val="Hyperlink"/>
            <w:lang w:val="fr"/>
          </w:rPr>
          <w:t xml:space="preserve">L'évaluation régionale 2016 </w:t>
        </w:r>
        <w:proofErr w:type="gramStart"/>
        <w:r w:rsidR="004A3540" w:rsidRPr="00720F37">
          <w:rPr>
            <w:rStyle w:val="Hyperlink"/>
            <w:lang w:val="fr"/>
          </w:rPr>
          <w:t>des système d'information sanitaire dans le Pacifique</w:t>
        </w:r>
      </w:hyperlink>
      <w:proofErr w:type="gramEnd"/>
      <w:r w:rsidR="004A3540" w:rsidRPr="00720F37">
        <w:rPr>
          <w:lang w:val="fr"/>
        </w:rPr>
        <w:t xml:space="preserve">, la fréquence des rapports d'information et leur qualité s'est généralement améliorée. L'étude a montré que plusieurs pays ont établi un ensemble minimum d'indicateurs clés et présentent des rapports de synthèse réguliers. De plus, </w:t>
      </w:r>
      <w:r w:rsidRPr="00720F37">
        <w:rPr>
          <w:lang w:val="fr"/>
        </w:rPr>
        <w:t xml:space="preserve">les </w:t>
      </w:r>
      <w:r w:rsidR="00304BCD">
        <w:rPr>
          <w:lang w:val="fr"/>
        </w:rPr>
        <w:t>États et Territoires insulaires du Pacifique</w:t>
      </w:r>
      <w:r w:rsidR="004A3540" w:rsidRPr="00720F37">
        <w:rPr>
          <w:lang w:val="fr"/>
        </w:rPr>
        <w:t xml:space="preserve"> ont adopté un nombre important d'initiatives régionales en matière d'information sanitaire telles que le </w:t>
      </w:r>
      <w:hyperlink r:id="rId10" w:history="1">
        <w:r w:rsidR="004A3540" w:rsidRPr="00720F37">
          <w:rPr>
            <w:rStyle w:val="Hyperlink"/>
            <w:lang w:val="fr"/>
          </w:rPr>
          <w:t>Cadre de suivi des îles-santé</w:t>
        </w:r>
      </w:hyperlink>
      <w:r w:rsidR="00720F37">
        <w:rPr>
          <w:lang w:val="fr"/>
        </w:rPr>
        <w:t xml:space="preserve"> en </w:t>
      </w:r>
      <w:r w:rsidR="004A3540" w:rsidRPr="00720F37">
        <w:rPr>
          <w:lang w:val="fr"/>
        </w:rPr>
        <w:t xml:space="preserve">2017 et le plus récent </w:t>
      </w:r>
      <w:hyperlink r:id="rId11" w:history="1">
        <w:r w:rsidR="004A3540" w:rsidRPr="00720F37">
          <w:rPr>
            <w:rStyle w:val="Hyperlink"/>
            <w:lang w:val="fr"/>
          </w:rPr>
          <w:t xml:space="preserve"> la résolution pour un Plan d'action régional </w:t>
        </w:r>
      </w:hyperlink>
      <w:r w:rsidR="00720F37">
        <w:rPr>
          <w:lang w:val="fr"/>
        </w:rPr>
        <w:t xml:space="preserve"> pour la santé numérique en </w:t>
      </w:r>
      <w:r w:rsidR="004A3540" w:rsidRPr="00720F37">
        <w:rPr>
          <w:lang w:val="fr"/>
        </w:rPr>
        <w:t xml:space="preserve">2018.  </w:t>
      </w:r>
    </w:p>
    <w:p w14:paraId="1CF78770" w14:textId="0B0DC823" w:rsidR="0006521D" w:rsidRPr="00CC2F6F" w:rsidRDefault="008305D8" w:rsidP="00667E24">
      <w:pPr>
        <w:rPr>
          <w:lang w:val="fr-FR"/>
        </w:rPr>
      </w:pPr>
      <w:r w:rsidRPr="00CC2F6F">
        <w:rPr>
          <w:lang w:val="fr"/>
        </w:rPr>
        <w:lastRenderedPageBreak/>
        <w:t>Pour identifier l'état actuel de la numérisation des systèmes d'information sanitaire du Pacifique, l'OMS, avec l'appui du Réseau océanien d'information sanitaire (PHIN), a commandé une analyse du paysage des systèmes d'informa</w:t>
      </w:r>
      <w:r w:rsidR="00BB51BE">
        <w:rPr>
          <w:lang w:val="fr"/>
        </w:rPr>
        <w:t>tion sanitaire électroniques en </w:t>
      </w:r>
      <w:r w:rsidRPr="00CC2F6F">
        <w:rPr>
          <w:lang w:val="fr"/>
        </w:rPr>
        <w:t>2017.</w:t>
      </w:r>
      <w:r w:rsidRPr="00CC2F6F">
        <w:rPr>
          <w:rStyle w:val="FootnoteReference"/>
          <w:rFonts w:cs="Times New Roman"/>
          <w:lang w:val="fr"/>
        </w:rPr>
        <w:footnoteReference w:id="3"/>
      </w:r>
      <w:r w:rsidR="00233659" w:rsidRPr="00CC2F6F">
        <w:rPr>
          <w:lang w:val="fr"/>
        </w:rPr>
        <w:t xml:space="preserve"> </w:t>
      </w:r>
      <w:r w:rsidRPr="00CC2F6F">
        <w:rPr>
          <w:lang w:val="fr"/>
        </w:rPr>
        <w:t xml:space="preserve">Cette analyse a été complétée par une </w:t>
      </w:r>
      <w:hyperlink r:id="rId12" w:history="1">
        <w:r w:rsidRPr="00CC2F6F">
          <w:rPr>
            <w:rStyle w:val="Hyperlink"/>
            <w:lang w:val="fr"/>
          </w:rPr>
          <w:t>consultation d'experts en e-santé dans la</w:t>
        </w:r>
        <w:r w:rsidR="005C0F75">
          <w:rPr>
            <w:rStyle w:val="Hyperlink"/>
            <w:lang w:val="fr"/>
          </w:rPr>
          <w:t xml:space="preserve"> Région </w:t>
        </w:r>
        <w:r w:rsidRPr="00CC2F6F">
          <w:rPr>
            <w:rStyle w:val="Hyperlink"/>
            <w:lang w:val="fr"/>
          </w:rPr>
          <w:t>du Pacifique occidental</w:t>
        </w:r>
      </w:hyperlink>
      <w:r w:rsidRPr="00CC2F6F">
        <w:rPr>
          <w:lang w:val="fr"/>
        </w:rPr>
        <w:t xml:space="preserve"> menée par</w:t>
      </w:r>
      <w:r w:rsidR="0089453A">
        <w:rPr>
          <w:lang w:val="fr"/>
        </w:rPr>
        <w:t xml:space="preserve"> le Bureau régional de l'OMS en </w:t>
      </w:r>
      <w:r w:rsidRPr="00CC2F6F">
        <w:rPr>
          <w:lang w:val="fr"/>
        </w:rPr>
        <w:t xml:space="preserve">2018. Dans le Pacifique, les projets en e-santé de tailles et de complexités variées ont été </w:t>
      </w:r>
      <w:r w:rsidR="00D8686A">
        <w:rPr>
          <w:lang w:val="fr"/>
        </w:rPr>
        <w:t>mis en œuvre</w:t>
      </w:r>
      <w:r w:rsidRPr="00CC2F6F">
        <w:rPr>
          <w:lang w:val="fr"/>
        </w:rPr>
        <w:t xml:space="preserve"> av</w:t>
      </w:r>
      <w:r w:rsidR="0087193E">
        <w:rPr>
          <w:lang w:val="fr"/>
        </w:rPr>
        <w:t>ec un certain succès. Parmi ce</w:t>
      </w:r>
      <w:r w:rsidR="00CF0F01">
        <w:rPr>
          <w:lang w:val="fr"/>
        </w:rPr>
        <w:t>ux</w:t>
      </w:r>
      <w:r w:rsidRPr="00CC2F6F">
        <w:rPr>
          <w:lang w:val="fr"/>
        </w:rPr>
        <w:t xml:space="preserve"> </w:t>
      </w:r>
      <w:r w:rsidR="00D8686A">
        <w:rPr>
          <w:lang w:val="fr"/>
        </w:rPr>
        <w:t>mis en œuvre</w:t>
      </w:r>
      <w:r w:rsidRPr="00CC2F6F">
        <w:rPr>
          <w:lang w:val="fr"/>
        </w:rPr>
        <w:t>, il peut être intéressant de citer l'élaboration des systèmes d'information sanitaire numérique dans la plupart des pays,</w:t>
      </w:r>
      <w:r w:rsidRPr="00CC2F6F">
        <w:rPr>
          <w:rStyle w:val="FootnoteReference"/>
          <w:rFonts w:cs="Times New Roman"/>
          <w:lang w:val="fr"/>
        </w:rPr>
        <w:footnoteReference w:id="4"/>
      </w:r>
      <w:r w:rsidRPr="00CC2F6F">
        <w:rPr>
          <w:lang w:val="fr"/>
        </w:rPr>
        <w:t xml:space="preserve"> l'utilisation de systèmes d'information géographiques (SIG) ainsi que d'autres sources de données pour informer la planification des centres de santé des Îles Salomon, et l'élaboration du Système d'information sanitaire par district (DHIS2)  aux Îles Salomon, aux Tonga et au Vanuatu. De plus, le Samoa a mené des projets sur la santé mobile (m-santé</w:t>
      </w:r>
      <w:r w:rsidRPr="00CC2F6F">
        <w:rPr>
          <w:rStyle w:val="FootnoteReference"/>
          <w:lang w:val="fr"/>
        </w:rPr>
        <w:footnoteReference w:id="5"/>
      </w:r>
      <w:r w:rsidRPr="00CC2F6F">
        <w:rPr>
          <w:lang w:val="fr"/>
        </w:rPr>
        <w:t xml:space="preserve">) pour la lutte antitabac. Les étapes du développement de l'e-santé est toujours variable  selon </w:t>
      </w:r>
      <w:r w:rsidR="007D7C16" w:rsidRPr="00CC2F6F">
        <w:rPr>
          <w:lang w:val="fr"/>
        </w:rPr>
        <w:t xml:space="preserve">les </w:t>
      </w:r>
      <w:r w:rsidR="00304BCD">
        <w:rPr>
          <w:lang w:val="fr"/>
        </w:rPr>
        <w:t>États et Territoires insulaires du Pacifique</w:t>
      </w:r>
      <w:r w:rsidRPr="00CC2F6F">
        <w:rPr>
          <w:lang w:val="fr"/>
        </w:rPr>
        <w:t xml:space="preserve"> du fait de caractéristiques uniques à chacun. Certaines interventions en e-santé sont toujours en cours de planification et certaines n'ont pas progressé au-delà de la phase pilote.</w:t>
      </w:r>
    </w:p>
    <w:p w14:paraId="246E13EC" w14:textId="4C6D5D8C" w:rsidR="00C12B2C" w:rsidRPr="00CF0F01" w:rsidRDefault="00C12B2C" w:rsidP="00667E24">
      <w:pPr>
        <w:rPr>
          <w:rFonts w:cs="Times New Roman"/>
          <w:lang w:val="fr-FR"/>
        </w:rPr>
      </w:pPr>
      <w:r w:rsidRPr="00CF0F01">
        <w:rPr>
          <w:rFonts w:cs="Times New Roman"/>
          <w:lang w:val="fr"/>
        </w:rPr>
        <w:t>Les réseaux régionaux jouent un rôle important dans l'orientation des pays avec le développement de « bon</w:t>
      </w:r>
      <w:r w:rsidR="00CF0F01">
        <w:rPr>
          <w:rFonts w:cs="Times New Roman"/>
          <w:lang w:val="fr"/>
        </w:rPr>
        <w:t>nes » stratégies en e</w:t>
      </w:r>
      <w:r w:rsidR="00CF0F01">
        <w:rPr>
          <w:rFonts w:cs="Times New Roman"/>
          <w:lang w:val="fr"/>
        </w:rPr>
        <w:noBreakHyphen/>
        <w:t>santé. En </w:t>
      </w:r>
      <w:r w:rsidRPr="00CF0F01">
        <w:rPr>
          <w:rFonts w:cs="Times New Roman"/>
          <w:lang w:val="fr"/>
        </w:rPr>
        <w:t xml:space="preserve">2018, le Réseau océanien d'information sanitaire a adopté un nouveau plan triennal stratégique de </w:t>
      </w:r>
      <w:r w:rsidR="000236AD">
        <w:rPr>
          <w:rFonts w:cs="Times New Roman"/>
          <w:lang w:val="fr"/>
        </w:rPr>
        <w:t>mise en œuvre</w:t>
      </w:r>
      <w:r w:rsidRPr="00CF0F01">
        <w:rPr>
          <w:rFonts w:cs="Times New Roman"/>
          <w:lang w:val="fr"/>
        </w:rPr>
        <w:t xml:space="preserve"> axé sur l'e-santé et qui guide les pays dans la bonne direction, en explorant les synergies régionales et en apportant un soutien et un suivi au niveau national. Le Réseau océanien d'information sanitaire est soutenu par l'OMS et la Communauté du Pacifique (SPC), et a été reconnu lors des réunions des directeurs et des ministres de la santé des pays océaniens par le passé. Un soutien supplémentaire, particulièrement d'autres partenaires, est toutefois plus que bienvenu. </w:t>
      </w:r>
    </w:p>
    <w:p w14:paraId="2DFEFC68" w14:textId="01C389DD" w:rsidR="00DE526F" w:rsidRPr="00D60636" w:rsidRDefault="000936DF" w:rsidP="00667E24">
      <w:pPr>
        <w:pStyle w:val="Heading2"/>
        <w:rPr>
          <w:lang w:val="fr-FR"/>
        </w:rPr>
      </w:pPr>
      <w:r w:rsidRPr="00D60636">
        <w:rPr>
          <w:lang w:val="fr"/>
        </w:rPr>
        <w:t xml:space="preserve">2.2 Système d'enregistrement des faits et de statistiques d'état civil (CRVS): le rôle du système des soins de santé </w:t>
      </w:r>
    </w:p>
    <w:p w14:paraId="0DF67727" w14:textId="1DB163DB" w:rsidR="002B6496" w:rsidRPr="00EF692A" w:rsidRDefault="000930AB" w:rsidP="00667E24">
      <w:pPr>
        <w:rPr>
          <w:highlight w:val="yellow"/>
          <w:lang w:val="fr-FR"/>
        </w:rPr>
      </w:pPr>
      <w:r w:rsidRPr="00D60636">
        <w:rPr>
          <w:lang w:val="fr"/>
        </w:rPr>
        <w:t xml:space="preserve">L'enregistrement à l'état civil fait référence à l'enregistrement continu, permanent, obligatoire et universel de l'occurrence et </w:t>
      </w:r>
      <w:r w:rsidR="00D60636">
        <w:rPr>
          <w:lang w:val="fr"/>
        </w:rPr>
        <w:t>des caractéristiques de faits, e</w:t>
      </w:r>
      <w:r w:rsidRPr="00D60636">
        <w:rPr>
          <w:lang w:val="fr"/>
        </w:rPr>
        <w:t>n accord avec les exigences juridiques d'un pays. L'enregistrement à l'état civil a deux fonctions principales :i) établir l'identité juridique des membres d'une population ; et ii) fournir aux pouvoirs publics une source nation</w:t>
      </w:r>
      <w:r w:rsidR="00A55DAB">
        <w:rPr>
          <w:lang w:val="fr"/>
        </w:rPr>
        <w:t>ale de faits et de statistiques</w:t>
      </w:r>
      <w:r w:rsidRPr="00D60636">
        <w:rPr>
          <w:lang w:val="fr"/>
        </w:rPr>
        <w:t xml:space="preserve">, y compris les statistiques sur la cause des décès. Les systèmes d'enregistrement à l'état </w:t>
      </w:r>
      <w:r w:rsidRPr="00A55DAB">
        <w:rPr>
          <w:lang w:val="fr"/>
        </w:rPr>
        <w:t>civil qui délivre des identifiants uniques fournissent une base pour l'établissement de systèmes d'identification nationale sécurisés. Si les identifications nationales étaient reliées par exemple au système de gestion des dossier</w:t>
      </w:r>
      <w:r w:rsidR="00A55DAB">
        <w:rPr>
          <w:lang w:val="fr"/>
        </w:rPr>
        <w:t>s</w:t>
      </w:r>
      <w:r w:rsidRPr="00A55DAB">
        <w:rPr>
          <w:lang w:val="fr"/>
        </w:rPr>
        <w:t xml:space="preserve"> médicaux des patients du secteur sanitaire, des identifiants sanitaires uniques pourraient alors être délivrées.</w:t>
      </w:r>
    </w:p>
    <w:p w14:paraId="71C209C1" w14:textId="71D8B2B7" w:rsidR="003A5BF8" w:rsidRPr="004D2612" w:rsidRDefault="003A5BF8" w:rsidP="00667E24">
      <w:pPr>
        <w:rPr>
          <w:lang w:val="fr-FR"/>
        </w:rPr>
      </w:pPr>
      <w:r w:rsidRPr="004D2612">
        <w:rPr>
          <w:lang w:val="fr"/>
        </w:rPr>
        <w:t>Les systèmes d'enregistrement à l'état civil sont également des sources de statistiques et de faits liés à la santé. Ceci est particulièrement important dans le Pacifique, où de nombreux évènements (par exemple, naissances et décès) se déroulent toujours à la maison et où les processus d'établissement de rapports n'exigent pas de rapport des faits auprès du système des soins de santé. Dans le Pacifique, l'enregistrement complet des naissances et des décès varie de chiffres aussi bas que 15</w:t>
      </w:r>
      <w:r w:rsidR="00233659" w:rsidRPr="004D2612">
        <w:rPr>
          <w:lang w:val="fr"/>
        </w:rPr>
        <w:t> </w:t>
      </w:r>
      <w:r w:rsidRPr="004D2612">
        <w:rPr>
          <w:lang w:val="fr"/>
        </w:rPr>
        <w:t>% dans certains pays à un chiffre élevé de 90</w:t>
      </w:r>
      <w:r w:rsidR="00233659" w:rsidRPr="004D2612">
        <w:rPr>
          <w:lang w:val="fr"/>
        </w:rPr>
        <w:t xml:space="preserve"> </w:t>
      </w:r>
      <w:r w:rsidRPr="004D2612">
        <w:rPr>
          <w:lang w:val="fr"/>
        </w:rPr>
        <w:t xml:space="preserve">% dans d'autres. Le partage de données entre les services d'enregistrement de l'état civil et </w:t>
      </w:r>
      <w:r w:rsidR="006C1479">
        <w:rPr>
          <w:lang w:val="fr"/>
        </w:rPr>
        <w:t>de la santé est donc essentiel</w:t>
      </w:r>
      <w:r w:rsidRPr="004D2612">
        <w:rPr>
          <w:lang w:val="fr"/>
        </w:rPr>
        <w:t xml:space="preserve"> afin de garantir que les données enregistrées dans chacune des bases de données sont complètes et que les données peuvent servir à extraire des indicateurs sanitaires importants.  </w:t>
      </w:r>
    </w:p>
    <w:p w14:paraId="262ABB8F" w14:textId="16658DFF" w:rsidR="007A236A" w:rsidRPr="00A66E13" w:rsidRDefault="00673714" w:rsidP="00667E24">
      <w:pPr>
        <w:rPr>
          <w:lang w:val="fr-FR"/>
        </w:rPr>
      </w:pPr>
      <w:r w:rsidRPr="00A66E13">
        <w:rPr>
          <w:lang w:val="fr"/>
        </w:rPr>
        <w:t xml:space="preserve">Le caractère complet des systèmes d'enregistrement à l'état civil demeure un enjeu important dans la plupart des </w:t>
      </w:r>
      <w:r w:rsidR="00304BCD">
        <w:rPr>
          <w:lang w:val="fr"/>
        </w:rPr>
        <w:t>États et Territoires insulaires du Pacifique</w:t>
      </w:r>
      <w:r w:rsidRPr="00A66E13">
        <w:rPr>
          <w:lang w:val="fr"/>
        </w:rPr>
        <w:t>. En prenant en considération la relation symbiotique entre les systèmes d'information et d'enregistrement à l'état civil, il est recommandé que les pays établissent un dispositif institutionnalisé de partage des données entre les bureaux d'enregistrement et les bureaux de santé. Une telle relation pourrait faciliter le caractère complet et la qualité des données ainsi que des faits et des statistiques en matière d'identification.</w:t>
      </w:r>
    </w:p>
    <w:p w14:paraId="506A2388" w14:textId="7C78E21C" w:rsidR="00CA0B89" w:rsidRPr="00EF692A" w:rsidRDefault="00CA0B89" w:rsidP="00667E24">
      <w:pPr>
        <w:pStyle w:val="Heading1"/>
        <w:rPr>
          <w:lang w:val="fr-FR"/>
        </w:rPr>
      </w:pPr>
      <w:r>
        <w:rPr>
          <w:lang w:val="fr"/>
        </w:rPr>
        <w:t xml:space="preserve">3.  </w:t>
      </w:r>
      <w:r w:rsidR="00A66E13">
        <w:rPr>
          <w:lang w:val="fr"/>
        </w:rPr>
        <w:t>D</w:t>
      </w:r>
      <w:r w:rsidR="00A66E13">
        <w:rPr>
          <w:rFonts w:cs="Times New Roman"/>
          <w:lang w:val="fr"/>
        </w:rPr>
        <w:t>É</w:t>
      </w:r>
      <w:r w:rsidR="00A66E13">
        <w:rPr>
          <w:lang w:val="fr"/>
        </w:rPr>
        <w:t>FIS</w:t>
      </w:r>
    </w:p>
    <w:p w14:paraId="01B26594" w14:textId="1E90BA5B" w:rsidR="00E018EA" w:rsidRPr="00747F8D" w:rsidRDefault="00E018EA" w:rsidP="00667E24">
      <w:pPr>
        <w:rPr>
          <w:lang w:val="fr-FR"/>
        </w:rPr>
      </w:pPr>
      <w:r w:rsidRPr="00747F8D">
        <w:rPr>
          <w:lang w:val="fr"/>
        </w:rPr>
        <w:t>Les principaux</w:t>
      </w:r>
      <w:r w:rsidR="00747F8D">
        <w:rPr>
          <w:lang w:val="fr"/>
        </w:rPr>
        <w:t xml:space="preserve"> enjeux suivants relatifs à l'e</w:t>
      </w:r>
      <w:r w:rsidR="00747F8D">
        <w:rPr>
          <w:lang w:val="fr"/>
        </w:rPr>
        <w:noBreakHyphen/>
      </w:r>
      <w:r w:rsidRPr="00747F8D">
        <w:rPr>
          <w:lang w:val="fr"/>
        </w:rPr>
        <w:t>santé dans le Pacifique ont été identifiés :</w:t>
      </w:r>
    </w:p>
    <w:p w14:paraId="5160A96D" w14:textId="0C1739C9" w:rsidR="00AE37B7" w:rsidRPr="00747F8D" w:rsidRDefault="00747F8D" w:rsidP="00667E24">
      <w:pPr>
        <w:rPr>
          <w:lang w:val="fr-FR"/>
        </w:rPr>
      </w:pPr>
      <w:r>
        <w:rPr>
          <w:b/>
          <w:bCs/>
          <w:lang w:val="fr"/>
        </w:rPr>
        <w:t>Les stratégies en e</w:t>
      </w:r>
      <w:r>
        <w:rPr>
          <w:b/>
          <w:bCs/>
          <w:lang w:val="fr"/>
        </w:rPr>
        <w:noBreakHyphen/>
      </w:r>
      <w:r w:rsidR="0039202C" w:rsidRPr="00747F8D">
        <w:rPr>
          <w:b/>
          <w:bCs/>
          <w:lang w:val="fr"/>
        </w:rPr>
        <w:t>santé doivent être renforcées.</w:t>
      </w:r>
      <w:r w:rsidR="0039202C" w:rsidRPr="00747F8D">
        <w:rPr>
          <w:lang w:val="fr"/>
        </w:rPr>
        <w:t xml:space="preserve"> De nombreux </w:t>
      </w:r>
      <w:r w:rsidR="00304BCD">
        <w:rPr>
          <w:lang w:val="fr"/>
        </w:rPr>
        <w:t>États et Territoires insulaires du Pacifique</w:t>
      </w:r>
      <w:r w:rsidR="0039202C" w:rsidRPr="00747F8D">
        <w:rPr>
          <w:lang w:val="fr"/>
        </w:rPr>
        <w:t xml:space="preserve"> manquent encore de « bonnes » politiques et stratégies en e-santé avec une compréhension claire des limites juridiques, des cadres réglementaires et des normes pour appuyer le système sanitaire national. </w:t>
      </w:r>
      <w:r w:rsidR="004E4DAA">
        <w:rPr>
          <w:lang w:val="fr"/>
        </w:rPr>
        <w:t>Idéalement, les stratégies en e</w:t>
      </w:r>
      <w:r w:rsidR="004E4DAA">
        <w:rPr>
          <w:lang w:val="fr"/>
        </w:rPr>
        <w:noBreakHyphen/>
      </w:r>
      <w:r w:rsidR="0039202C" w:rsidRPr="00747F8D">
        <w:rPr>
          <w:lang w:val="fr"/>
        </w:rPr>
        <w:t xml:space="preserve">santé devraient être intégrées aux plans sanitaires nationaux ou aux plans gouvernementaux s'ils existent.  </w:t>
      </w:r>
    </w:p>
    <w:p w14:paraId="045099FC" w14:textId="34B1F32E" w:rsidR="00E018EA" w:rsidRPr="00EF692A" w:rsidRDefault="005F0A21" w:rsidP="00667E24">
      <w:pPr>
        <w:rPr>
          <w:highlight w:val="yellow"/>
          <w:lang w:val="fr-FR"/>
        </w:rPr>
      </w:pPr>
      <w:r>
        <w:rPr>
          <w:b/>
          <w:bCs/>
          <w:lang w:val="fr"/>
        </w:rPr>
        <w:t>Les fondations clés en e</w:t>
      </w:r>
      <w:r>
        <w:rPr>
          <w:b/>
          <w:bCs/>
          <w:lang w:val="fr"/>
        </w:rPr>
        <w:noBreakHyphen/>
      </w:r>
      <w:r w:rsidR="0039202C" w:rsidRPr="00747F8D">
        <w:rPr>
          <w:b/>
          <w:bCs/>
          <w:lang w:val="fr"/>
        </w:rPr>
        <w:t>santé doivent être renforcé</w:t>
      </w:r>
      <w:r w:rsidR="006C667F">
        <w:rPr>
          <w:b/>
          <w:bCs/>
          <w:lang w:val="fr"/>
        </w:rPr>
        <w:t>e</w:t>
      </w:r>
      <w:r w:rsidR="0039202C" w:rsidRPr="00747F8D">
        <w:rPr>
          <w:b/>
          <w:bCs/>
          <w:lang w:val="fr"/>
        </w:rPr>
        <w:t>s.</w:t>
      </w:r>
      <w:r w:rsidR="0039202C" w:rsidRPr="00747F8D">
        <w:rPr>
          <w:lang w:val="fr"/>
        </w:rPr>
        <w:t xml:space="preserve"> Les fondations clés comprennent l'infrastructure TIC et les mécanismes de partage d'information. L'infrastructure TIC essentielle inclut une source d'énergie fiable, une couverture du signal mobile et une disponibilité internet. La couverture du signal cellulaire reste limitée dans de nombreuses zones du Pacifique, et l'accès au haut débit au sein des pays est concentré dans les zones urbaines. Il est intéressant de noter que le recours à </w:t>
      </w:r>
      <w:r>
        <w:rPr>
          <w:lang w:val="fr"/>
        </w:rPr>
        <w:t>l'e</w:t>
      </w:r>
      <w:r>
        <w:rPr>
          <w:lang w:val="fr"/>
        </w:rPr>
        <w:noBreakHyphen/>
      </w:r>
      <w:r w:rsidR="0039202C" w:rsidRPr="005F0A21">
        <w:rPr>
          <w:lang w:val="fr"/>
        </w:rPr>
        <w:t xml:space="preserve">santé dans </w:t>
      </w:r>
      <w:r w:rsidR="007D7C16" w:rsidRPr="005F0A21">
        <w:rPr>
          <w:lang w:val="fr"/>
        </w:rPr>
        <w:t xml:space="preserve">les </w:t>
      </w:r>
      <w:r w:rsidR="00304BCD" w:rsidRPr="005F0A21">
        <w:rPr>
          <w:lang w:val="fr"/>
        </w:rPr>
        <w:t>États et Territoires insulaires du Pacifique</w:t>
      </w:r>
      <w:r w:rsidR="0039202C" w:rsidRPr="005F0A21">
        <w:rPr>
          <w:lang w:val="fr"/>
        </w:rPr>
        <w:t xml:space="preserve"> est </w:t>
      </w:r>
      <w:r w:rsidR="00233659" w:rsidRPr="005F0A21">
        <w:rPr>
          <w:lang w:val="fr"/>
        </w:rPr>
        <w:t>grandement influencé et dépendant</w:t>
      </w:r>
      <w:r w:rsidR="0039202C" w:rsidRPr="005F0A21">
        <w:rPr>
          <w:lang w:val="fr"/>
        </w:rPr>
        <w:t xml:space="preserve"> de l'accès général aux infrastructures TIC et aux fondations clés.</w:t>
      </w:r>
    </w:p>
    <w:p w14:paraId="233014CB" w14:textId="4587F127" w:rsidR="003B2484" w:rsidRPr="002E1E9C" w:rsidRDefault="009F356B" w:rsidP="00667E24">
      <w:pPr>
        <w:rPr>
          <w:lang w:val="fr-FR"/>
        </w:rPr>
      </w:pPr>
      <w:r w:rsidRPr="002E1E9C">
        <w:rPr>
          <w:b/>
          <w:bCs/>
          <w:lang w:val="fr"/>
        </w:rPr>
        <w:t>Il est nécessaire d'avoir davantage de personnel formé aux TIC et à l'e-santé</w:t>
      </w:r>
      <w:r w:rsidR="00233659" w:rsidRPr="002E1E9C">
        <w:rPr>
          <w:b/>
          <w:bCs/>
          <w:lang w:val="fr"/>
        </w:rPr>
        <w:t>.</w:t>
      </w:r>
      <w:r w:rsidRPr="002E1E9C">
        <w:rPr>
          <w:lang w:val="fr"/>
        </w:rPr>
        <w:t xml:space="preserve"> L'une des tâches les plus difficiles dans le renforcement des systèmes d'information sanitaire dans le Pacifique est de former, d'employer et de retenir le personnel avec une formation spécialisée sur la manière de développer des systèmes d'information pour le secteur sanitaire. Des techniciens professionnels qualifiés, y compris du personnel issu du secteur médical, de la santé publique, de l'information sanitaire et des TIC sont requis pour mener à bien, soutenir et maintenir la </w:t>
      </w:r>
      <w:r w:rsidR="000236AD" w:rsidRPr="002E1E9C">
        <w:rPr>
          <w:lang w:val="fr"/>
        </w:rPr>
        <w:t>mise en œuvre</w:t>
      </w:r>
      <w:r w:rsidRPr="002E1E9C">
        <w:rPr>
          <w:lang w:val="fr"/>
        </w:rPr>
        <w:t xml:space="preserve"> de l'e-santé et créer des politiques propices et des plans d'e-santé prospectifs. Les réseaux tels que le PHIN (Réseau océanien d'information sanitaire) peuvent contribuer à renforcer la capacité régionale, par exemple, par l'établissement de formations et la création d'un groupe d'experts pour la </w:t>
      </w:r>
      <w:r w:rsidR="002E1E9C">
        <w:rPr>
          <w:lang w:val="fr"/>
        </w:rPr>
        <w:t>R</w:t>
      </w:r>
      <w:r w:rsidRPr="002E1E9C">
        <w:rPr>
          <w:lang w:val="fr"/>
        </w:rPr>
        <w:t>égion.</w:t>
      </w:r>
    </w:p>
    <w:p w14:paraId="069A64B9" w14:textId="03179893" w:rsidR="009954D2" w:rsidRPr="0093769B" w:rsidRDefault="009F356B" w:rsidP="00667E24">
      <w:pPr>
        <w:rPr>
          <w:lang w:val="fr-FR"/>
        </w:rPr>
      </w:pPr>
      <w:r w:rsidRPr="0093769B">
        <w:rPr>
          <w:b/>
          <w:bCs/>
          <w:lang w:val="fr"/>
        </w:rPr>
        <w:t xml:space="preserve">Une planification à long-terme pour les investissements dans les systèmes d'information sanitaire </w:t>
      </w:r>
      <w:proofErr w:type="gramStart"/>
      <w:r w:rsidRPr="0093769B">
        <w:rPr>
          <w:b/>
          <w:bCs/>
          <w:lang w:val="fr"/>
        </w:rPr>
        <w:t>sont</w:t>
      </w:r>
      <w:proofErr w:type="gramEnd"/>
      <w:r w:rsidRPr="0093769B">
        <w:rPr>
          <w:b/>
          <w:bCs/>
          <w:lang w:val="fr"/>
        </w:rPr>
        <w:t xml:space="preserve"> nécessaires.</w:t>
      </w:r>
      <w:r w:rsidRPr="0093769B">
        <w:rPr>
          <w:lang w:val="fr"/>
        </w:rPr>
        <w:t xml:space="preserve"> Les investissements dans l'e-santé n'ont pas bénéficié aux </w:t>
      </w:r>
      <w:r w:rsidR="00304BCD" w:rsidRPr="0093769B">
        <w:rPr>
          <w:lang w:val="fr"/>
        </w:rPr>
        <w:t>États et Territoires insulaires du Pacifique</w:t>
      </w:r>
      <w:r w:rsidRPr="0093769B">
        <w:rPr>
          <w:lang w:val="fr"/>
        </w:rPr>
        <w:t xml:space="preserve"> de manière égale. Une plus grande coordination des bailleurs de fond et une planification stratégique régionale à long-terme avec des pays qui partagent leurs besoins de manière transparente </w:t>
      </w:r>
      <w:proofErr w:type="gramStart"/>
      <w:r w:rsidRPr="0093769B">
        <w:rPr>
          <w:lang w:val="fr"/>
        </w:rPr>
        <w:t>est</w:t>
      </w:r>
      <w:proofErr w:type="gramEnd"/>
      <w:r w:rsidRPr="0093769B">
        <w:rPr>
          <w:lang w:val="fr"/>
        </w:rPr>
        <w:t xml:space="preserve"> urgemment requise. </w:t>
      </w:r>
      <w:r w:rsidR="007D7C16" w:rsidRPr="0093769B">
        <w:rPr>
          <w:lang w:val="fr"/>
        </w:rPr>
        <w:t xml:space="preserve">Les </w:t>
      </w:r>
      <w:r w:rsidR="00304BCD" w:rsidRPr="0093769B">
        <w:rPr>
          <w:lang w:val="fr"/>
        </w:rPr>
        <w:t>États et Territoires insulaires du Pacifique</w:t>
      </w:r>
      <w:r w:rsidRPr="0093769B">
        <w:rPr>
          <w:lang w:val="fr"/>
        </w:rPr>
        <w:t xml:space="preserve"> sont encouragés à améliorer leur coopération, leur collaboration et leur partage avec leurs ministères de la santé, à travers l'ensemble du secteur sanitaire et au sein d'autres secteurs afin de réduire la duplication d'efforts et le gaspillage de ressources réduites. Pour </w:t>
      </w:r>
      <w:r w:rsidR="007D7C16" w:rsidRPr="0093769B">
        <w:rPr>
          <w:lang w:val="fr"/>
        </w:rPr>
        <w:t xml:space="preserve">les </w:t>
      </w:r>
      <w:r w:rsidR="00304BCD" w:rsidRPr="0093769B">
        <w:rPr>
          <w:lang w:val="fr"/>
        </w:rPr>
        <w:t>États et Territoires insulaires du Pacifique</w:t>
      </w:r>
      <w:r w:rsidRPr="0093769B">
        <w:rPr>
          <w:lang w:val="fr"/>
        </w:rPr>
        <w:t xml:space="preserve"> qui dépendent fortement de sources de financement externes, il est important de noter que les dispositifs associés souvent ne prennent pas en compte les coûts de fonctionnement en cours pour maintenir la </w:t>
      </w:r>
      <w:r w:rsidR="000236AD" w:rsidRPr="0093769B">
        <w:rPr>
          <w:lang w:val="fr"/>
        </w:rPr>
        <w:t>mise en œuvre</w:t>
      </w:r>
      <w:r w:rsidRPr="0093769B">
        <w:rPr>
          <w:lang w:val="fr"/>
        </w:rPr>
        <w:t xml:space="preserve"> de l'e-santé. Ceci inclut le besoin en formation continue, le soutien, la maintenance et le remplacement de l'infrastructure TIC, ainsi que les valorisations des logiciels d'application d'e-santé requis afin de pouvoir répondre aux exigences commerciales, de données et d'établissement de rapports qui évoluent. À </w:t>
      </w:r>
      <w:r w:rsidR="001A47A0">
        <w:rPr>
          <w:lang w:val="fr"/>
        </w:rPr>
        <w:t>ce jour, les interventions en e</w:t>
      </w:r>
      <w:r w:rsidR="001A47A0">
        <w:rPr>
          <w:lang w:val="fr"/>
        </w:rPr>
        <w:noBreakHyphen/>
      </w:r>
      <w:r w:rsidRPr="0093769B">
        <w:rPr>
          <w:lang w:val="fr"/>
        </w:rPr>
        <w:t xml:space="preserve">santé ont été opportunistes et subtilement sensibles aux influences extérieures (par exemple, la disponibilité de financement, le focus sur des solutions de propriété spécifiques, la disponibilité du talent). Les réponses dans l'ensemble à ces conditions exigeront une approche plus exhaustive et prospective, allant du développement d'une stratégie de santé numérique pratique et d'une feuille de route à la création de calendriers d'investissements pour financer la </w:t>
      </w:r>
      <w:r w:rsidR="000236AD" w:rsidRPr="0093769B">
        <w:rPr>
          <w:lang w:val="fr"/>
        </w:rPr>
        <w:t>mise en œuvre</w:t>
      </w:r>
      <w:r w:rsidRPr="0093769B">
        <w:rPr>
          <w:lang w:val="fr"/>
        </w:rPr>
        <w:t xml:space="preserve"> de manière appropriée. </w:t>
      </w:r>
    </w:p>
    <w:p w14:paraId="6C16D0CA" w14:textId="4300DCBC" w:rsidR="00306202" w:rsidRPr="0012260B" w:rsidRDefault="00D1009D" w:rsidP="00667E24">
      <w:pPr>
        <w:rPr>
          <w:lang w:val="fr-FR"/>
        </w:rPr>
      </w:pPr>
      <w:r w:rsidRPr="0012260B">
        <w:rPr>
          <w:b/>
          <w:bCs/>
          <w:lang w:val="fr"/>
        </w:rPr>
        <w:t>La collecte de données et l'établissement de rapports doivent être utiles pour les responsables de la collecte de données.</w:t>
      </w:r>
      <w:r w:rsidRPr="0012260B">
        <w:rPr>
          <w:lang w:val="fr"/>
        </w:rPr>
        <w:t xml:space="preserve"> L'utilisation des données et des rapports d'information sanitaire du Pacifique pour la prise de décision est fondée principalement sur les données agrégées, et pas tellement sur les données ventilées qui peuvent être utilisées au niveau des établissements de santé pour améliorer les soins aux patients. Les informations individuelles sont souvent consignées sur papier par le personnel infirmier, déjà sous le poids du service de base à assurer, puis rassemblées sous la forme de données agrégées par le personnel infirmier ou en charge de l'enregistrement des données, localement ou à distance. L'accent mis sur la collecte de données agrégées ne permet pas beaucoup de retour d'information ou de bénéfices directs pour l'établissement auteur du rapport et pour son personnel de santé - ce qui veut dire que l'intérêt de tels rapports au niveau du personnel médical (par exemple, les infirmiers, les médecins) n'est pas évident pour les personnes qui collectent les données. Des données ventilées par individu et idéalement reliées à des identifiants uniques faciliteraient l'obtention d'informations détaillées sur la santé des personnes. Certains pays (par exemple, les Îles Cook, Fidji, les Tonga et le Vanuatu) commencent à mener des réflexions plus larges sur l'utilisation des informations sanitaires en portant leur attention au-delà des données agrégées, et davantage sur les données concernant les patients et sur l'exploitation directe de ces données dans les soins délivrés au patient. L'accès aux données ventilées placera les pays dans une meilleure position pour atteindre les Objectifs de développement durable (ODD), et plus important, permettra d'aider les responsables locaux de la planification sanitaire et les professionnels de la santé à mieux prendre soin des personnes au sein de leurs communautés.</w:t>
      </w:r>
    </w:p>
    <w:p w14:paraId="4254CF71" w14:textId="5AC0EC18" w:rsidR="00C12436" w:rsidRPr="00D00E18" w:rsidRDefault="006D0940" w:rsidP="00667E24">
      <w:pPr>
        <w:rPr>
          <w:b/>
          <w:lang w:val="fr-FR"/>
        </w:rPr>
      </w:pPr>
      <w:r w:rsidRPr="00D00E18">
        <w:rPr>
          <w:b/>
          <w:bCs/>
          <w:lang w:val="fr"/>
        </w:rPr>
        <w:t>Les systèmes autonomes et fragmentés doivent être surmontés.</w:t>
      </w:r>
      <w:r w:rsidRPr="00D00E18">
        <w:rPr>
          <w:lang w:val="fr"/>
        </w:rPr>
        <w:t xml:space="preserve"> La prestation des services de santé ou de surveillance ne sauraient être menés à bien s'ils sont </w:t>
      </w:r>
      <w:r w:rsidR="00D8686A" w:rsidRPr="00D00E18">
        <w:rPr>
          <w:lang w:val="fr"/>
        </w:rPr>
        <w:t>mis en œuvre</w:t>
      </w:r>
      <w:r w:rsidRPr="00D00E18">
        <w:rPr>
          <w:lang w:val="fr"/>
        </w:rPr>
        <w:t xml:space="preserve"> en ordre dispersé basés sur la fragmentation des données. C'est toutefois toujours le cas bien souvent dans les pays dont les systèmes ne sont pas ou seulement partiellement informatisés. En conséquence, les dossiers hospitaliers et cliniques constituent bien souvent des systèmes d'information autonomes qui empêchent la communication de ces dossiers entre les établissements de santé et à l'intérieur même d'un établissement de santé. Les dossiers papier présentent également d'autres limites telles que l'écriture illisible, les problèmes d'accès, le coût de l'entreposage et le risque de pertes ou de dommages. Cela pourrait résulter d'une erreur humaine ou de catastrophes naturelles telles que le feu ou les inondations.</w:t>
      </w:r>
      <w:r w:rsidRPr="00D00E18">
        <w:rPr>
          <w:b/>
          <w:bCs/>
          <w:lang w:val="fr"/>
        </w:rPr>
        <w:t xml:space="preserve"> </w:t>
      </w:r>
      <w:r w:rsidRPr="00D00E18">
        <w:rPr>
          <w:lang w:val="fr"/>
        </w:rPr>
        <w:t xml:space="preserve">Les dossiers médicaux électroniques, si </w:t>
      </w:r>
      <w:r w:rsidR="00D8686A" w:rsidRPr="00D00E18">
        <w:rPr>
          <w:lang w:val="fr"/>
        </w:rPr>
        <w:t>mis en œuvre</w:t>
      </w:r>
      <w:r w:rsidRPr="00D00E18">
        <w:rPr>
          <w:lang w:val="fr"/>
        </w:rPr>
        <w:t xml:space="preserve"> correctement, sont bien mieux organisés et accessibles que les versions papier, et permettent d'extraire les résultats de laboratoire et de radiographie plus rapidement. </w:t>
      </w:r>
    </w:p>
    <w:p w14:paraId="4AA6F7D8" w14:textId="09CC4E92" w:rsidR="00577BF5" w:rsidRPr="00EB3EFD" w:rsidRDefault="00577BF5" w:rsidP="00667E24">
      <w:pPr>
        <w:rPr>
          <w:lang w:val="fr-FR"/>
        </w:rPr>
      </w:pPr>
      <w:r w:rsidRPr="00EB3EFD">
        <w:rPr>
          <w:lang w:val="fr"/>
        </w:rPr>
        <w:t>La fragmentation de l'information sanitaire dans des systèmes qui se chevauchent en partie et dictés par des programmes de santé au fonctionnement vertical différent représente un problème pour une utilisation efficace de l'information sanitaire. Par exemple, les systèmes d'information existants pour les programmes de surveillance et centrés sur des maladies particulières n'apportent pas toujours des données spécifiques spatio-temporelles avec des informations suffisantes pour des cas d'enquête et de flambée épidémique. Les investissements dans les infrastructures d'e</w:t>
      </w:r>
      <w:r w:rsidR="006F675A" w:rsidRPr="00EB3EFD">
        <w:rPr>
          <w:lang w:val="fr"/>
        </w:rPr>
        <w:noBreakHyphen/>
      </w:r>
      <w:r w:rsidRPr="00EB3EFD">
        <w:rPr>
          <w:lang w:val="fr"/>
        </w:rPr>
        <w:t xml:space="preserve">santé (telles qu'un partage du registre des patients) pourraient faciliter l'intégration d'autres programmes verticaux de lutte contre les maladies à un système d'information sanitaire national plus large et est plus que nécessaire. </w:t>
      </w:r>
    </w:p>
    <w:p w14:paraId="027EF27D" w14:textId="23907322" w:rsidR="006B0126" w:rsidRPr="00C47EB3" w:rsidRDefault="004E3E27" w:rsidP="00667E24">
      <w:pPr>
        <w:rPr>
          <w:lang w:val="fr-FR"/>
        </w:rPr>
      </w:pPr>
      <w:r w:rsidRPr="00C47EB3">
        <w:rPr>
          <w:b/>
          <w:bCs/>
          <w:lang w:val="fr"/>
        </w:rPr>
        <w:t xml:space="preserve">Le développement d'identifiants uniques (pour la santé) est nécessaire. </w:t>
      </w:r>
      <w:r w:rsidRPr="00C47EB3">
        <w:rPr>
          <w:lang w:val="fr"/>
        </w:rPr>
        <w:t xml:space="preserve">L'identifiant national du patient est la base de l'interopérabilité à travers l'intégralité du système de dossier de santé électronique (DSE). Aujourd'hui, la plupart des pays océaniens ont recours à des numéros d'identifiant multiples au sein de leurs systèmes sanitaires. Cela signifie que les responsables de la </w:t>
      </w:r>
      <w:r w:rsidR="000236AD" w:rsidRPr="00C47EB3">
        <w:rPr>
          <w:lang w:val="fr"/>
        </w:rPr>
        <w:t>mise en œuvre</w:t>
      </w:r>
      <w:r w:rsidRPr="00C47EB3">
        <w:rPr>
          <w:lang w:val="fr"/>
        </w:rPr>
        <w:t xml:space="preserve"> des systèmes d'information sanitaire peuvent utiliser des systèmes de registres et de dossiers variés avec des identifiants des patients qui ne sont pas nécessairement uniques.</w:t>
      </w:r>
      <w:r w:rsidRPr="00C47EB3">
        <w:rPr>
          <w:vertAlign w:val="superscript"/>
          <w:lang w:val="fr"/>
        </w:rPr>
        <w:footnoteReference w:id="6"/>
      </w:r>
      <w:r w:rsidRPr="00C47EB3">
        <w:rPr>
          <w:vertAlign w:val="superscript"/>
          <w:lang w:val="fr"/>
        </w:rPr>
        <w:footnoteReference w:id="7"/>
      </w:r>
      <w:r w:rsidR="00233659" w:rsidRPr="00C47EB3">
        <w:rPr>
          <w:lang w:val="fr"/>
        </w:rPr>
        <w:t xml:space="preserve"> </w:t>
      </w:r>
      <w:r w:rsidRPr="00C47EB3">
        <w:rPr>
          <w:lang w:val="fr"/>
        </w:rPr>
        <w:t xml:space="preserve">Des identifiants multiples génèrent un manque d'efficacité dans le continuum des soins de santé, y compris des dossiers segmentés, comme </w:t>
      </w:r>
      <w:r w:rsidR="005C0F75" w:rsidRPr="00C47EB3">
        <w:rPr>
          <w:lang w:val="fr"/>
        </w:rPr>
        <w:t>cela a pu être observé dans la R</w:t>
      </w:r>
      <w:r w:rsidRPr="00C47EB3">
        <w:rPr>
          <w:lang w:val="fr"/>
        </w:rPr>
        <w:t xml:space="preserve">égion. </w:t>
      </w:r>
      <w:r w:rsidRPr="00C47EB3">
        <w:rPr>
          <w:i/>
          <w:iCs/>
          <w:lang w:val="fr"/>
        </w:rPr>
        <w:t>Il y a urgence à établir un identifiant national dans le secteur de la santé.</w:t>
      </w:r>
    </w:p>
    <w:p w14:paraId="5B2950CB" w14:textId="37991756" w:rsidR="0006521D" w:rsidRPr="00C47EB3" w:rsidRDefault="009D0C89" w:rsidP="00667E24">
      <w:pPr>
        <w:rPr>
          <w:lang w:val="fr-FR"/>
        </w:rPr>
      </w:pPr>
      <w:r w:rsidRPr="00C47EB3">
        <w:rPr>
          <w:lang w:val="fr"/>
        </w:rPr>
        <w:t xml:space="preserve">En outre, il existe plusieurs systèmes d'enregistrement et d'identification en-dehors du secteur de la santé qui contribuent à l'établissement de l'identité d'une personne, telles que les registres des naissances et les systèmes d'identification nationaux qui, s'ils sont adaptés, peuvent être adoptés pour le secteur sanitaire. Tout le travail mené sur les identifiants nationaux, les identifiants sanitaires et l'enregistrement des faits et statistiques d'état civil est fondamental pour mettre </w:t>
      </w:r>
      <w:r w:rsidR="007D7C16" w:rsidRPr="00C47EB3">
        <w:rPr>
          <w:lang w:val="fr"/>
        </w:rPr>
        <w:t xml:space="preserve">les </w:t>
      </w:r>
      <w:r w:rsidR="00304BCD" w:rsidRPr="00C47EB3">
        <w:rPr>
          <w:lang w:val="fr"/>
        </w:rPr>
        <w:t>États et Territoires insulaires du Pacifique</w:t>
      </w:r>
      <w:r w:rsidRPr="00C47EB3">
        <w:rPr>
          <w:lang w:val="fr"/>
        </w:rPr>
        <w:t xml:space="preserve"> en position d'adopter un identifiant universel juridique pour une utilisation dans le secteur sanitaire. Il existe également des risques potentiels à l'utilisation d'un identifiant unique pour l'ensemble des services des gouvernements y compris la santé, ce qui appelle à une vigilance accrue dans la sauvegarde de la confidentialité des données personnelles. Ceci demeure l'un des enjeux les plus critiques pour les systèmes d'identification si les protections juridiques et les contrôles techniques et administratifs ne sont pas en place. Chaque pays à titre individuel devra mesurer les bénéfices et les risques lors de la décision quant à la manière de procéder.</w:t>
      </w:r>
    </w:p>
    <w:p w14:paraId="5B0D5C1B" w14:textId="77777777" w:rsidR="00CA0B89" w:rsidRPr="00EF692A" w:rsidRDefault="00CA0B89" w:rsidP="00667E24">
      <w:pPr>
        <w:pStyle w:val="Heading1"/>
        <w:rPr>
          <w:lang w:val="fr-FR"/>
        </w:rPr>
      </w:pPr>
      <w:r>
        <w:rPr>
          <w:lang w:val="fr"/>
        </w:rPr>
        <w:t>4.  ORIENTATIONS FUTURES</w:t>
      </w:r>
    </w:p>
    <w:p w14:paraId="2A9358EB" w14:textId="3DB0D21C" w:rsidR="00113026" w:rsidRPr="00C87D35" w:rsidRDefault="00C87D35" w:rsidP="00667E24">
      <w:pPr>
        <w:rPr>
          <w:lang w:val="fr-FR"/>
        </w:rPr>
      </w:pPr>
      <w:r w:rsidRPr="00C87D35">
        <w:rPr>
          <w:lang w:val="fr"/>
        </w:rPr>
        <w:t>Les investissements futurs en e</w:t>
      </w:r>
      <w:r w:rsidRPr="00C87D35">
        <w:rPr>
          <w:lang w:val="fr"/>
        </w:rPr>
        <w:noBreakHyphen/>
      </w:r>
      <w:r w:rsidR="00F0374B" w:rsidRPr="00C87D35">
        <w:rPr>
          <w:lang w:val="fr"/>
        </w:rPr>
        <w:t xml:space="preserve">santé pourraient mener à un changement </w:t>
      </w:r>
      <w:r w:rsidRPr="00C87D35">
        <w:rPr>
          <w:lang w:val="fr"/>
        </w:rPr>
        <w:t>transformationnel</w:t>
      </w:r>
      <w:r w:rsidR="00F0374B" w:rsidRPr="00C87D35">
        <w:rPr>
          <w:lang w:val="fr"/>
        </w:rPr>
        <w:t xml:space="preserve"> pour l'ensemble du système de santé. P</w:t>
      </w:r>
      <w:r>
        <w:rPr>
          <w:lang w:val="fr"/>
        </w:rPr>
        <w:t>our accroître l'adoption de l'e</w:t>
      </w:r>
      <w:r>
        <w:rPr>
          <w:lang w:val="fr"/>
        </w:rPr>
        <w:noBreakHyphen/>
      </w:r>
      <w:r w:rsidR="00F0374B" w:rsidRPr="00C87D35">
        <w:rPr>
          <w:lang w:val="fr"/>
        </w:rPr>
        <w:t>santé comme forme d'intervention sanitaire, les obstacles organisationnels et comportementaux, ainsi que les reformes des politiques, devront être traitées avec un engagement à tous les niveaux. Les recommandations sont en ligne avec celles proposées dans le</w:t>
      </w:r>
      <w:r w:rsidR="00233659" w:rsidRPr="00C87D35">
        <w:rPr>
          <w:lang w:val="fr"/>
        </w:rPr>
        <w:t xml:space="preserve"> </w:t>
      </w:r>
      <w:hyperlink r:id="rId13" w:history="1">
        <w:r w:rsidR="00F0374B" w:rsidRPr="00C87D35">
          <w:rPr>
            <w:rStyle w:val="Hyperlink"/>
            <w:lang w:val="fr"/>
          </w:rPr>
          <w:t xml:space="preserve">Programme d’action régional pour l’utilisation de la </w:t>
        </w:r>
        <w:proofErr w:type="spellStart"/>
        <w:r w:rsidR="00F0374B" w:rsidRPr="00C87D35">
          <w:rPr>
            <w:rStyle w:val="Hyperlink"/>
            <w:lang w:val="fr"/>
          </w:rPr>
          <w:t>cybersanté</w:t>
        </w:r>
        <w:proofErr w:type="spellEnd"/>
        <w:r w:rsidR="00F0374B" w:rsidRPr="00C87D35">
          <w:rPr>
            <w:rStyle w:val="Hyperlink"/>
            <w:lang w:val="fr"/>
          </w:rPr>
          <w:t xml:space="preserve"> aux fins d’une meilleure prestation des services de santé dans le  Pacifique occidental</w:t>
        </w:r>
      </w:hyperlink>
      <w:r w:rsidR="00F0374B" w:rsidRPr="00C87D35">
        <w:rPr>
          <w:lang w:val="fr"/>
        </w:rPr>
        <w:t>.</w:t>
      </w:r>
    </w:p>
    <w:p w14:paraId="50EB9D65" w14:textId="10BD3B1B" w:rsidR="0080004E" w:rsidRPr="00EF692A" w:rsidRDefault="00836200" w:rsidP="00F37E6F">
      <w:pPr>
        <w:pStyle w:val="Heading2"/>
        <w:rPr>
          <w:lang w:val="fr-FR"/>
        </w:rPr>
      </w:pPr>
      <w:r>
        <w:rPr>
          <w:lang w:val="fr"/>
        </w:rPr>
        <w:t>Les efforts sont nécessaires, pour :</w:t>
      </w:r>
    </w:p>
    <w:p w14:paraId="03A5E933" w14:textId="0112F80A" w:rsidR="00053405" w:rsidRPr="00B731EF" w:rsidRDefault="00F27B2C" w:rsidP="00F37E6F">
      <w:pPr>
        <w:pStyle w:val="ListParagraph"/>
        <w:numPr>
          <w:ilvl w:val="0"/>
          <w:numId w:val="20"/>
        </w:numPr>
        <w:ind w:left="720"/>
        <w:rPr>
          <w:rFonts w:cs="Times New Roman"/>
          <w:bCs/>
          <w:lang w:val="fr-FR"/>
        </w:rPr>
      </w:pPr>
      <w:r w:rsidRPr="00B731EF">
        <w:rPr>
          <w:rFonts w:cs="Times New Roman"/>
          <w:lang w:val="fr"/>
        </w:rPr>
        <w:t>continuer à renforcer les système</w:t>
      </w:r>
      <w:r w:rsidR="00B731EF">
        <w:rPr>
          <w:rFonts w:cs="Times New Roman"/>
          <w:lang w:val="fr"/>
        </w:rPr>
        <w:t>s</w:t>
      </w:r>
      <w:r w:rsidRPr="00B731EF">
        <w:rPr>
          <w:rFonts w:cs="Times New Roman"/>
          <w:lang w:val="fr"/>
        </w:rPr>
        <w:t xml:space="preserve"> d'information sanitaire au niveau </w:t>
      </w:r>
      <w:r w:rsidR="00B731EF">
        <w:rPr>
          <w:rFonts w:cs="Times New Roman"/>
          <w:lang w:val="fr"/>
        </w:rPr>
        <w:t>national et les stratégies en e</w:t>
      </w:r>
      <w:r w:rsidR="00B731EF">
        <w:rPr>
          <w:rFonts w:cs="Times New Roman"/>
          <w:lang w:val="fr"/>
        </w:rPr>
        <w:noBreakHyphen/>
      </w:r>
      <w:r w:rsidRPr="00B731EF">
        <w:rPr>
          <w:rFonts w:cs="Times New Roman"/>
          <w:lang w:val="fr"/>
        </w:rPr>
        <w:t xml:space="preserve">santé, en ligne avec les priorités sanitaires nationales et les priorités nationales plus larges ; </w:t>
      </w:r>
    </w:p>
    <w:p w14:paraId="0EEFEE9F" w14:textId="31B9EDB4" w:rsidR="00053405" w:rsidRPr="00B731EF" w:rsidRDefault="00F27B2C" w:rsidP="00F37E6F">
      <w:pPr>
        <w:pStyle w:val="ListParagraph"/>
        <w:numPr>
          <w:ilvl w:val="0"/>
          <w:numId w:val="20"/>
        </w:numPr>
        <w:ind w:left="720"/>
        <w:rPr>
          <w:rFonts w:cs="Times New Roman"/>
          <w:bCs/>
          <w:lang w:val="fr-FR"/>
        </w:rPr>
      </w:pPr>
      <w:r w:rsidRPr="00B731EF">
        <w:rPr>
          <w:rFonts w:cs="Times New Roman"/>
          <w:lang w:val="fr"/>
        </w:rPr>
        <w:t>continuer à renforcer les capacités en ressources humaines pour les systèmes</w:t>
      </w:r>
      <w:r w:rsidR="00B731EF">
        <w:rPr>
          <w:rFonts w:cs="Times New Roman"/>
          <w:lang w:val="fr"/>
        </w:rPr>
        <w:t xml:space="preserve"> d'information sanitaire et l'e</w:t>
      </w:r>
      <w:r w:rsidR="00B731EF">
        <w:rPr>
          <w:rFonts w:cs="Times New Roman"/>
          <w:lang w:val="fr"/>
        </w:rPr>
        <w:noBreakHyphen/>
      </w:r>
      <w:r w:rsidRPr="00B731EF">
        <w:rPr>
          <w:rFonts w:cs="Times New Roman"/>
          <w:lang w:val="fr"/>
        </w:rPr>
        <w:t xml:space="preserve">santé, et s'assurer que les fondements clés et les facilitateurs pour l'e-santé sont en place, y compris des identifiants sanitaires uniques, des infrastructures TIC et des mécanismes de partage d'information ; </w:t>
      </w:r>
    </w:p>
    <w:p w14:paraId="049066EB" w14:textId="1BB53DDB" w:rsidR="00053405" w:rsidRPr="00B731EF" w:rsidRDefault="00F27B2C" w:rsidP="00F37E6F">
      <w:pPr>
        <w:pStyle w:val="ListParagraph"/>
        <w:numPr>
          <w:ilvl w:val="0"/>
          <w:numId w:val="20"/>
        </w:numPr>
        <w:ind w:left="720"/>
        <w:rPr>
          <w:rFonts w:cs="Times New Roman"/>
          <w:bCs/>
          <w:lang w:val="fr-FR"/>
        </w:rPr>
      </w:pPr>
      <w:r w:rsidRPr="00B731EF">
        <w:rPr>
          <w:rFonts w:cs="Times New Roman"/>
          <w:lang w:val="fr"/>
        </w:rPr>
        <w:t>poursuivre le renforcement de la relation entre les bureaux d'enregistrement à l'état civil et les ministères de la santé, avec l'objectif d'établir un dispositif de partage de données sur une base régulière et des cadres communs et harmonisés ;</w:t>
      </w:r>
    </w:p>
    <w:p w14:paraId="0D12B652" w14:textId="227A0908" w:rsidR="00053405" w:rsidRPr="00B731EF" w:rsidRDefault="00F27B2C" w:rsidP="00F37E6F">
      <w:pPr>
        <w:pStyle w:val="ListParagraph"/>
        <w:numPr>
          <w:ilvl w:val="0"/>
          <w:numId w:val="20"/>
        </w:numPr>
        <w:ind w:left="720"/>
        <w:rPr>
          <w:rFonts w:cs="Times New Roman"/>
          <w:bCs/>
          <w:lang w:val="fr-FR"/>
        </w:rPr>
      </w:pPr>
      <w:r w:rsidRPr="00B731EF">
        <w:rPr>
          <w:rFonts w:cs="Times New Roman"/>
          <w:lang w:val="fr"/>
        </w:rPr>
        <w:t xml:space="preserve">appuyer les réseaux régionaux tels que le PHIN et encourager la collaboration entre le secteur de la santé et les parties prenantes en-dehors du secteur de la santé (par exemple, les instituts universitaires) ; </w:t>
      </w:r>
    </w:p>
    <w:p w14:paraId="75E41AB5" w14:textId="4D5B6C37" w:rsidR="00AC22C8" w:rsidRPr="00B731EF" w:rsidRDefault="00F27B2C" w:rsidP="00F37E6F">
      <w:pPr>
        <w:pStyle w:val="ListParagraph"/>
        <w:numPr>
          <w:ilvl w:val="0"/>
          <w:numId w:val="20"/>
        </w:numPr>
        <w:ind w:left="720"/>
        <w:rPr>
          <w:rFonts w:eastAsia="Malgun Gothic" w:cs="Times New Roman"/>
          <w:bCs/>
          <w:lang w:val="fr-FR"/>
        </w:rPr>
      </w:pPr>
      <w:r w:rsidRPr="00B731EF">
        <w:rPr>
          <w:rFonts w:cs="Times New Roman"/>
          <w:lang w:val="fr"/>
        </w:rPr>
        <w:t>envisager de désigner un représentant national PHIN</w:t>
      </w:r>
      <w:r w:rsidRPr="00B731EF">
        <w:rPr>
          <w:rStyle w:val="FootnoteReference"/>
          <w:rFonts w:cs="Times New Roman"/>
          <w:lang w:val="fr"/>
        </w:rPr>
        <w:footnoteReference w:id="8"/>
      </w:r>
      <w:r w:rsidR="00B731EF">
        <w:rPr>
          <w:rFonts w:cs="Times New Roman"/>
          <w:lang w:val="fr"/>
        </w:rPr>
        <w:t xml:space="preserve"> </w:t>
      </w:r>
      <w:r w:rsidRPr="00B731EF">
        <w:rPr>
          <w:rFonts w:cs="Times New Roman"/>
          <w:lang w:val="fr"/>
        </w:rPr>
        <w:t>dans chaque PIC pou</w:t>
      </w:r>
      <w:r w:rsidR="00B731EF">
        <w:rPr>
          <w:rFonts w:cs="Times New Roman"/>
          <w:lang w:val="fr"/>
        </w:rPr>
        <w:t>r représenter et promouvoir l'e</w:t>
      </w:r>
      <w:r w:rsidR="00B731EF">
        <w:rPr>
          <w:rFonts w:cs="Times New Roman"/>
          <w:lang w:val="fr"/>
        </w:rPr>
        <w:noBreakHyphen/>
      </w:r>
      <w:r w:rsidRPr="00B731EF">
        <w:rPr>
          <w:rFonts w:cs="Times New Roman"/>
          <w:lang w:val="fr"/>
        </w:rPr>
        <w:t xml:space="preserve">santé. </w:t>
      </w:r>
    </w:p>
    <w:p w14:paraId="417C7C2C" w14:textId="0BF354AA" w:rsidR="00CE7F63" w:rsidRPr="00EF692A" w:rsidRDefault="00CE7F63" w:rsidP="00053405">
      <w:pPr>
        <w:pStyle w:val="ListParagraph"/>
        <w:spacing w:before="480" w:after="0"/>
        <w:ind w:left="360"/>
        <w:rPr>
          <w:lang w:val="fr-FR"/>
        </w:rPr>
      </w:pPr>
    </w:p>
    <w:sectPr w:rsidR="00CE7F63" w:rsidRPr="00EF692A" w:rsidSect="007F2C2C">
      <w:headerReference w:type="even" r:id="rId14"/>
      <w:headerReference w:type="default" r:id="rId15"/>
      <w:headerReference w:type="first" r:id="rId16"/>
      <w:footerReference w:type="first" r:id="rId17"/>
      <w:pgSz w:w="11907" w:h="16839" w:code="9"/>
      <w:pgMar w:top="720" w:right="1440" w:bottom="1440" w:left="1440" w:header="720" w:footer="720" w:gutter="0"/>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082ED5" w15:done="0"/>
  <w15:commentEx w15:paraId="2DC17B1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082ED5" w16cid:durableId="20ABA0B0"/>
  <w16cid:commentId w16cid:paraId="2DC17B1E" w16cid:durableId="20AB980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D3198F" w14:textId="77777777" w:rsidR="00194C54" w:rsidRDefault="00194C54" w:rsidP="00DC6979">
      <w:pPr>
        <w:spacing w:after="0" w:line="240" w:lineRule="auto"/>
      </w:pPr>
      <w:r>
        <w:separator/>
      </w:r>
    </w:p>
  </w:endnote>
  <w:endnote w:type="continuationSeparator" w:id="0">
    <w:p w14:paraId="4237A745" w14:textId="77777777" w:rsidR="00194C54" w:rsidRDefault="00194C54" w:rsidP="00DC6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Headings CS)">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Lato">
    <w:altName w:val="Calibri"/>
    <w:charset w:val="00"/>
    <w:family w:val="swiss"/>
    <w:pitch w:val="variable"/>
    <w:sig w:usb0="00000001" w:usb1="5000E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2C8322" w14:textId="77777777" w:rsidR="00AE4421" w:rsidRDefault="00AE4421" w:rsidP="00BD60F7">
    <w:pPr>
      <w:pStyle w:val="Footer"/>
      <w:pBdr>
        <w:top w:val="single" w:sz="4" w:space="1" w:color="D9D9D9" w:themeColor="background1" w:themeShade="D9"/>
      </w:pBdr>
      <w:rPr>
        <w:b/>
        <w:bCs/>
      </w:rPr>
    </w:pPr>
  </w:p>
  <w:p w14:paraId="0AAF67ED" w14:textId="77777777" w:rsidR="00AE4421" w:rsidRDefault="00AE44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D7D0E4" w14:textId="77777777" w:rsidR="00194C54" w:rsidRDefault="00194C54" w:rsidP="00DC6979">
      <w:pPr>
        <w:spacing w:after="0" w:line="240" w:lineRule="auto"/>
      </w:pPr>
      <w:r>
        <w:separator/>
      </w:r>
    </w:p>
  </w:footnote>
  <w:footnote w:type="continuationSeparator" w:id="0">
    <w:p w14:paraId="3FC83285" w14:textId="77777777" w:rsidR="00194C54" w:rsidRDefault="00194C54" w:rsidP="00DC6979">
      <w:pPr>
        <w:spacing w:after="0" w:line="240" w:lineRule="auto"/>
      </w:pPr>
      <w:r>
        <w:continuationSeparator/>
      </w:r>
    </w:p>
  </w:footnote>
  <w:footnote w:id="1">
    <w:p w14:paraId="37F93D1E" w14:textId="77777777" w:rsidR="00181BA3" w:rsidRPr="00720F37" w:rsidRDefault="00181BA3" w:rsidP="00181BA3">
      <w:pPr>
        <w:pStyle w:val="FootnoteText"/>
        <w:rPr>
          <w:rFonts w:asciiTheme="minorHAnsi" w:hAnsiTheme="minorHAnsi" w:cstheme="minorHAnsi"/>
          <w:sz w:val="18"/>
          <w:szCs w:val="18"/>
          <w:lang w:val="fr-FR"/>
        </w:rPr>
      </w:pPr>
      <w:r w:rsidRPr="00720F37">
        <w:rPr>
          <w:rStyle w:val="FootnoteReference"/>
          <w:rFonts w:asciiTheme="minorHAnsi" w:hAnsiTheme="minorHAnsi" w:cstheme="minorHAnsi"/>
          <w:sz w:val="18"/>
          <w:szCs w:val="18"/>
          <w:lang w:val="fr"/>
        </w:rPr>
        <w:footnoteRef/>
      </w:r>
      <w:r w:rsidRPr="00720F37">
        <w:rPr>
          <w:rFonts w:asciiTheme="minorHAnsi" w:hAnsiTheme="minorHAnsi" w:cstheme="minorHAnsi"/>
          <w:sz w:val="18"/>
          <w:szCs w:val="18"/>
          <w:lang w:val="fr"/>
        </w:rPr>
        <w:t>Aux fins du présent document, le terme « e-santé » sera considéré harmonisé au terme « santé numérique ».</w:t>
      </w:r>
    </w:p>
  </w:footnote>
  <w:footnote w:id="2">
    <w:p w14:paraId="7B31827A" w14:textId="600B9EF2" w:rsidR="000E15C6" w:rsidRPr="00667E24" w:rsidRDefault="000E15C6" w:rsidP="00667E24">
      <w:pPr>
        <w:pStyle w:val="FootnoteText"/>
        <w:jc w:val="left"/>
        <w:rPr>
          <w:rFonts w:asciiTheme="minorHAnsi" w:hAnsiTheme="minorHAnsi" w:cstheme="minorHAnsi"/>
          <w:sz w:val="18"/>
          <w:szCs w:val="18"/>
        </w:rPr>
      </w:pPr>
      <w:r w:rsidRPr="00720F37">
        <w:rPr>
          <w:rStyle w:val="FootnoteReference"/>
          <w:rFonts w:asciiTheme="minorHAnsi" w:hAnsiTheme="minorHAnsi" w:cstheme="minorHAnsi"/>
          <w:sz w:val="18"/>
          <w:szCs w:val="18"/>
          <w:lang w:val="fr"/>
        </w:rPr>
        <w:footnoteRef/>
      </w:r>
      <w:r w:rsidRPr="00720F37">
        <w:rPr>
          <w:rFonts w:asciiTheme="minorHAnsi" w:hAnsiTheme="minorHAnsi"/>
          <w:sz w:val="18"/>
          <w:szCs w:val="18"/>
          <w:lang w:val="fr"/>
        </w:rPr>
        <w:t xml:space="preserve">La fracture numérique est un terme qui décrit les inégalités économiques et sociales pour accéder et utiliser les technologies de l'information et de communication. </w:t>
      </w:r>
      <w:r w:rsidRPr="00720F37">
        <w:rPr>
          <w:rFonts w:asciiTheme="minorHAnsi" w:hAnsiTheme="minorHAnsi"/>
          <w:i/>
          <w:iCs/>
          <w:sz w:val="18"/>
          <w:szCs w:val="18"/>
          <w:lang w:val="en-AU"/>
        </w:rPr>
        <w:t>Falling through the net: A survey of the have nots in rural and urban America.</w:t>
      </w:r>
      <w:r w:rsidRPr="00720F37">
        <w:rPr>
          <w:rFonts w:asciiTheme="minorHAnsi" w:hAnsiTheme="minorHAnsi"/>
          <w:sz w:val="18"/>
          <w:szCs w:val="18"/>
          <w:lang w:val="en-AU"/>
        </w:rPr>
        <w:t xml:space="preserve"> Washington, </w:t>
      </w:r>
      <w:proofErr w:type="gramStart"/>
      <w:r w:rsidRPr="00720F37">
        <w:rPr>
          <w:rFonts w:asciiTheme="minorHAnsi" w:hAnsiTheme="minorHAnsi"/>
          <w:sz w:val="18"/>
          <w:szCs w:val="18"/>
          <w:lang w:val="en-AU"/>
        </w:rPr>
        <w:t>DC :</w:t>
      </w:r>
      <w:proofErr w:type="gramEnd"/>
      <w:r w:rsidRPr="00720F37">
        <w:rPr>
          <w:rFonts w:asciiTheme="minorHAnsi" w:hAnsiTheme="minorHAnsi"/>
          <w:sz w:val="18"/>
          <w:szCs w:val="18"/>
          <w:lang w:val="en-AU"/>
        </w:rPr>
        <w:t xml:space="preserve"> United States Department of Commerce, National Telecommunications and Information Administration; 1995 (</w:t>
      </w:r>
      <w:hyperlink r:id="rId1" w:history="1">
        <w:r w:rsidRPr="00720F37">
          <w:rPr>
            <w:rStyle w:val="Hyperlink"/>
            <w:rFonts w:asciiTheme="minorHAnsi" w:hAnsiTheme="minorHAnsi" w:cstheme="minorHAnsi"/>
            <w:sz w:val="18"/>
            <w:szCs w:val="18"/>
            <w:lang w:val="en-AU"/>
          </w:rPr>
          <w:t>http://www.ntia.doc.gov/ntiahome/fallingthru.html</w:t>
        </w:r>
      </w:hyperlink>
      <w:r w:rsidRPr="00720F37">
        <w:rPr>
          <w:rFonts w:asciiTheme="minorHAnsi" w:hAnsiTheme="minorHAnsi"/>
          <w:sz w:val="18"/>
          <w:szCs w:val="18"/>
          <w:lang w:val="en-AU"/>
        </w:rPr>
        <w:t>).</w:t>
      </w:r>
    </w:p>
  </w:footnote>
  <w:footnote w:id="3">
    <w:p w14:paraId="733F3190" w14:textId="38EBD872" w:rsidR="004C2316" w:rsidRPr="004C7B58" w:rsidRDefault="004C2316" w:rsidP="00667E24">
      <w:pPr>
        <w:pStyle w:val="FootnoteText"/>
        <w:jc w:val="left"/>
        <w:rPr>
          <w:rFonts w:asciiTheme="minorHAnsi" w:hAnsiTheme="minorHAnsi" w:cstheme="minorHAnsi"/>
          <w:sz w:val="18"/>
          <w:szCs w:val="18"/>
          <w:lang w:val="fr-FR"/>
        </w:rPr>
      </w:pPr>
      <w:r w:rsidRPr="004C7B58">
        <w:rPr>
          <w:rStyle w:val="FootnoteReference"/>
          <w:rFonts w:asciiTheme="minorHAnsi" w:hAnsiTheme="minorHAnsi" w:cstheme="minorHAnsi"/>
          <w:sz w:val="18"/>
          <w:szCs w:val="18"/>
          <w:lang w:val="fr"/>
        </w:rPr>
        <w:footnoteRef/>
      </w:r>
      <w:r w:rsidRPr="004C7B58">
        <w:rPr>
          <w:rFonts w:asciiTheme="minorHAnsi" w:hAnsiTheme="minorHAnsi" w:cstheme="minorHAnsi"/>
          <w:sz w:val="18"/>
          <w:szCs w:val="18"/>
          <w:lang w:val="fr"/>
        </w:rPr>
        <w:t xml:space="preserve"> </w:t>
      </w:r>
      <w:proofErr w:type="spellStart"/>
      <w:r w:rsidRPr="004C7B58">
        <w:rPr>
          <w:rFonts w:asciiTheme="minorHAnsi" w:hAnsiTheme="minorHAnsi" w:cstheme="minorHAnsi"/>
          <w:sz w:val="18"/>
          <w:szCs w:val="18"/>
          <w:lang w:val="fr"/>
        </w:rPr>
        <w:t>Gevity</w:t>
      </w:r>
      <w:proofErr w:type="spellEnd"/>
      <w:r w:rsidRPr="004C7B58">
        <w:rPr>
          <w:rFonts w:asciiTheme="minorHAnsi" w:hAnsiTheme="minorHAnsi" w:cstheme="minorHAnsi"/>
          <w:sz w:val="18"/>
          <w:szCs w:val="18"/>
          <w:lang w:val="fr"/>
        </w:rPr>
        <w:t xml:space="preserve"> Consulting. Déclencher des solutions: approches régionales pour accroître les bénéfices de l'adoption de systèmes d'information santé dans le Pacifique. Suva : Organisation mondiale de la Santé ; 2018. </w:t>
      </w:r>
    </w:p>
  </w:footnote>
  <w:footnote w:id="4">
    <w:p w14:paraId="4A30E52F" w14:textId="78CB70AF" w:rsidR="00AE4421" w:rsidRPr="004C7B58" w:rsidRDefault="00AE4421" w:rsidP="00667E24">
      <w:pPr>
        <w:pStyle w:val="FootnoteText"/>
        <w:jc w:val="left"/>
        <w:rPr>
          <w:rFonts w:asciiTheme="minorHAnsi" w:hAnsiTheme="minorHAnsi" w:cstheme="minorHAnsi"/>
          <w:sz w:val="18"/>
          <w:szCs w:val="18"/>
          <w:lang w:val="fr-FR"/>
        </w:rPr>
      </w:pPr>
      <w:r w:rsidRPr="004C7B58">
        <w:rPr>
          <w:rStyle w:val="FootnoteReference"/>
          <w:rFonts w:asciiTheme="minorHAnsi" w:hAnsiTheme="minorHAnsi" w:cstheme="minorHAnsi"/>
          <w:sz w:val="18"/>
          <w:szCs w:val="18"/>
          <w:lang w:val="fr"/>
        </w:rPr>
        <w:footnoteRef/>
      </w:r>
      <w:r w:rsidRPr="004C7B58">
        <w:rPr>
          <w:rFonts w:asciiTheme="minorHAnsi" w:hAnsiTheme="minorHAnsi" w:cstheme="minorHAnsi"/>
          <w:sz w:val="18"/>
          <w:szCs w:val="18"/>
          <w:lang w:val="fr"/>
        </w:rPr>
        <w:t xml:space="preserve">Selon une analyse du paysage, de nombreux types de systèmes numériques sont mis en </w:t>
      </w:r>
      <w:r w:rsidR="00BE0EA1" w:rsidRPr="004C7B58">
        <w:rPr>
          <w:rFonts w:asciiTheme="minorHAnsi" w:hAnsiTheme="minorHAnsi" w:cstheme="minorHAnsi"/>
          <w:sz w:val="18"/>
          <w:szCs w:val="18"/>
          <w:lang w:val="fr"/>
        </w:rPr>
        <w:t>œuvre</w:t>
      </w:r>
      <w:r w:rsidRPr="004C7B58">
        <w:rPr>
          <w:rFonts w:asciiTheme="minorHAnsi" w:hAnsiTheme="minorHAnsi" w:cstheme="minorHAnsi"/>
          <w:sz w:val="18"/>
          <w:szCs w:val="18"/>
          <w:lang w:val="fr"/>
        </w:rPr>
        <w:t xml:space="preserve"> dans le Pacifique pour la collecte de données et la génération d'information. Des 22 zones et pays insulaires océaniens, seuls quatre disposent d'une forme de système d'information sanitaire numérique. Les systèmes d'information sanitaire numériques et les stratégies de collecte de données varient grandement, allant de tableaux Excel à des systèmes plus avancés tels que PATIS+ à Fidji. </w:t>
      </w:r>
    </w:p>
  </w:footnote>
  <w:footnote w:id="5">
    <w:p w14:paraId="2AD3B0F1" w14:textId="77777777" w:rsidR="00181BA3" w:rsidRPr="00EF692A" w:rsidRDefault="00181BA3" w:rsidP="00181BA3">
      <w:pPr>
        <w:pStyle w:val="FootnoteText"/>
        <w:rPr>
          <w:lang w:val="fr-FR"/>
        </w:rPr>
      </w:pPr>
      <w:r w:rsidRPr="004C7B58">
        <w:rPr>
          <w:rStyle w:val="FootnoteReference"/>
          <w:rFonts w:asciiTheme="minorHAnsi" w:hAnsiTheme="minorHAnsi" w:cstheme="minorHAnsi"/>
          <w:sz w:val="18"/>
          <w:szCs w:val="18"/>
          <w:lang w:val="fr"/>
        </w:rPr>
        <w:footnoteRef/>
      </w:r>
      <w:r w:rsidRPr="004C7B58">
        <w:rPr>
          <w:rFonts w:asciiTheme="minorHAnsi" w:hAnsiTheme="minorHAnsi" w:cstheme="minorHAnsi"/>
          <w:sz w:val="18"/>
          <w:szCs w:val="18"/>
          <w:lang w:val="fr"/>
        </w:rPr>
        <w:t>La santé mobile (m-santé) fait référence à l'utilisation de technologies mobile sans fil pour appuyer la réalisation des objectifs sanitaires.</w:t>
      </w:r>
    </w:p>
  </w:footnote>
  <w:footnote w:id="6">
    <w:p w14:paraId="2712FFBF" w14:textId="156C465B" w:rsidR="006B0126" w:rsidRPr="00C47EB3" w:rsidRDefault="006B0126" w:rsidP="00667E24">
      <w:pPr>
        <w:pStyle w:val="FootnoteText"/>
        <w:jc w:val="left"/>
        <w:rPr>
          <w:rFonts w:asciiTheme="minorHAnsi" w:hAnsiTheme="minorHAnsi" w:cstheme="minorHAnsi"/>
          <w:sz w:val="18"/>
          <w:szCs w:val="18"/>
          <w:lang w:val="fr-FR"/>
        </w:rPr>
      </w:pPr>
      <w:r w:rsidRPr="00C47EB3">
        <w:rPr>
          <w:rStyle w:val="FootnoteReference"/>
          <w:rFonts w:asciiTheme="minorHAnsi" w:hAnsiTheme="minorHAnsi" w:cstheme="minorHAnsi"/>
          <w:sz w:val="18"/>
          <w:szCs w:val="18"/>
          <w:lang w:val="fr"/>
        </w:rPr>
        <w:footnoteRef/>
      </w:r>
      <w:r w:rsidRPr="00C47EB3">
        <w:rPr>
          <w:rFonts w:asciiTheme="minorHAnsi" w:hAnsiTheme="minorHAnsi" w:cstheme="minorHAnsi"/>
          <w:sz w:val="18"/>
          <w:szCs w:val="18"/>
          <w:lang w:val="fr"/>
        </w:rPr>
        <w:t>Des identifiants uniques peuvent être alloués par les autorités nationales, territoriales, par les gouvernements locaux, par les instituts de soins de santé individuels (par exemple, le numéro de dossier à l'hôpital) ou par les services au sein d'une organisation (par exemple, le numéro du service de diagnostic).</w:t>
      </w:r>
    </w:p>
  </w:footnote>
  <w:footnote w:id="7">
    <w:p w14:paraId="1EEA0201" w14:textId="5F22051F" w:rsidR="006B0126" w:rsidRPr="00EF692A" w:rsidRDefault="006B0126" w:rsidP="00667E24">
      <w:pPr>
        <w:pStyle w:val="FootnoteText"/>
        <w:jc w:val="left"/>
        <w:rPr>
          <w:sz w:val="16"/>
          <w:szCs w:val="16"/>
          <w:lang w:val="fr-FR"/>
        </w:rPr>
      </w:pPr>
      <w:r w:rsidRPr="00C47EB3">
        <w:rPr>
          <w:rStyle w:val="FootnoteReference"/>
          <w:rFonts w:asciiTheme="minorHAnsi" w:hAnsiTheme="minorHAnsi" w:cstheme="minorHAnsi"/>
          <w:sz w:val="18"/>
          <w:szCs w:val="18"/>
          <w:lang w:val="fr"/>
        </w:rPr>
        <w:footnoteRef/>
      </w:r>
      <w:r w:rsidRPr="00C47EB3">
        <w:rPr>
          <w:rFonts w:asciiTheme="minorHAnsi" w:hAnsiTheme="minorHAnsi" w:cstheme="minorHAnsi"/>
          <w:sz w:val="18"/>
          <w:szCs w:val="18"/>
          <w:lang w:val="fr"/>
        </w:rPr>
        <w:t>Dans de nombreux cas, les index hospitaliers des patients, s'ils existent effectivement, sont fragmentés et n'ont pas été maintenus à jour de manière appropriée (tels que d'avoir de multiples identifiants pour un même patient dans les hôpitaux et dans l'ensemble des centres hospitaliers). Le plus souvent, les identifiants multiples ne sont pas reliés à l'index principal des patients ou au registre sanitaire national des clients et sont rarement utilisés pour le partage de données en dehors de leur clinique ou de leur réseau. Par exemple, en l'absence d'une norme nationale pour l'identification de patient, Guam, Kiribati, les États Fédérés de Micronésie et Nauru utilisent un identifiant unique pour le patient dans chaque hôpital, ce qui aboutit à des difficultés, voire des impossibilités en matière d'échange des données sanitaires entre les établissements.</w:t>
      </w:r>
    </w:p>
  </w:footnote>
  <w:footnote w:id="8">
    <w:p w14:paraId="24C8362D" w14:textId="2FAED865" w:rsidR="00053405" w:rsidRPr="00EF692A" w:rsidRDefault="00053405" w:rsidP="00667E24">
      <w:pPr>
        <w:pStyle w:val="FootnoteText"/>
        <w:jc w:val="left"/>
        <w:rPr>
          <w:rFonts w:asciiTheme="minorHAnsi" w:hAnsiTheme="minorHAnsi" w:cstheme="minorHAnsi"/>
          <w:sz w:val="18"/>
          <w:szCs w:val="18"/>
          <w:lang w:val="fr-FR"/>
        </w:rPr>
      </w:pPr>
      <w:r w:rsidRPr="0031312A">
        <w:rPr>
          <w:rStyle w:val="FootnoteReference"/>
          <w:rFonts w:asciiTheme="minorHAnsi" w:hAnsiTheme="minorHAnsi" w:cstheme="minorHAnsi"/>
          <w:sz w:val="18"/>
          <w:szCs w:val="18"/>
          <w:lang w:val="fr"/>
        </w:rPr>
        <w:footnoteRef/>
      </w:r>
      <w:r w:rsidRPr="0031312A">
        <w:rPr>
          <w:rFonts w:asciiTheme="minorHAnsi" w:hAnsiTheme="minorHAnsi" w:cstheme="minorHAnsi"/>
          <w:sz w:val="18"/>
          <w:szCs w:val="18"/>
          <w:lang w:val="fr"/>
        </w:rPr>
        <w:t xml:space="preserve">Tous les représentants nationaux du PHIN auront l'opportunité de siéger comme membres du bureau du PHIN pour un mandat de trois ans pour la gouvernance du PHIN au nom de ses membres, de renforcer l'alignement avec les réunions des directeurs de la santé et des ministres de la santé des pays océaniens et d'exécuter la stratégie PHIN et la feuille de route de mise en </w:t>
      </w:r>
      <w:r w:rsidR="00BE0EA1" w:rsidRPr="0031312A">
        <w:rPr>
          <w:rFonts w:asciiTheme="minorHAnsi" w:hAnsiTheme="minorHAnsi" w:cstheme="minorHAnsi"/>
          <w:sz w:val="18"/>
          <w:szCs w:val="18"/>
          <w:lang w:val="fr"/>
        </w:rPr>
        <w:t>œuvre</w:t>
      </w:r>
      <w:r w:rsidRPr="0031312A">
        <w:rPr>
          <w:rFonts w:asciiTheme="minorHAnsi" w:hAnsiTheme="minorHAnsi" w:cstheme="minorHAnsi"/>
          <w:sz w:val="18"/>
          <w:szCs w:val="18"/>
          <w:lang w:val="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4226F9" w14:textId="7010C68B" w:rsidR="00AE4421" w:rsidRPr="007608DB" w:rsidRDefault="00AE4421" w:rsidP="00BD60F7">
    <w:pPr>
      <w:pStyle w:val="Header"/>
      <w:rPr>
        <w:rFonts w:asciiTheme="majorBidi" w:hAnsiTheme="majorBidi" w:cstheme="majorBidi"/>
        <w:b/>
        <w:bCs/>
      </w:rPr>
    </w:pPr>
    <w:r>
      <w:rPr>
        <w:rFonts w:asciiTheme="majorBidi" w:hAnsiTheme="majorBidi" w:cstheme="majorBidi"/>
        <w:b/>
        <w:bCs/>
        <w:lang w:val="fr"/>
      </w:rPr>
      <w:t>PIC13/</w:t>
    </w:r>
    <w:r w:rsidR="004466BF">
      <w:rPr>
        <w:rFonts w:asciiTheme="majorBidi" w:hAnsiTheme="majorBidi" w:cstheme="majorBidi"/>
        <w:b/>
        <w:bCs/>
        <w:lang w:val="fr"/>
      </w:rPr>
      <w:t>20</w:t>
    </w:r>
  </w:p>
  <w:p w14:paraId="64DDF73F" w14:textId="29ED7521" w:rsidR="00AE4421" w:rsidRDefault="00AE4421" w:rsidP="00BD60F7">
    <w:pPr>
      <w:pStyle w:val="Header"/>
      <w:rPr>
        <w:rFonts w:asciiTheme="majorBidi" w:hAnsiTheme="majorBidi" w:cstheme="majorBidi"/>
        <w:b/>
        <w:bCs/>
        <w:noProof/>
      </w:rPr>
    </w:pPr>
    <w:proofErr w:type="gramStart"/>
    <w:r>
      <w:rPr>
        <w:rFonts w:asciiTheme="majorBidi" w:hAnsiTheme="majorBidi" w:cstheme="majorBidi"/>
        <w:b/>
        <w:bCs/>
        <w:lang w:val="fr"/>
      </w:rPr>
      <w:t>page</w:t>
    </w:r>
    <w:proofErr w:type="gramEnd"/>
    <w:r>
      <w:rPr>
        <w:rFonts w:asciiTheme="majorBidi" w:hAnsiTheme="majorBidi" w:cstheme="majorBidi"/>
        <w:b/>
        <w:bCs/>
        <w:lang w:val="fr"/>
      </w:rPr>
      <w:t xml:space="preserve"> </w:t>
    </w:r>
    <w:r>
      <w:rPr>
        <w:rFonts w:asciiTheme="majorBidi" w:hAnsiTheme="majorBidi" w:cstheme="majorBidi"/>
        <w:b/>
        <w:bCs/>
        <w:lang w:val="fr"/>
      </w:rPr>
      <w:fldChar w:fldCharType="begin"/>
    </w:r>
    <w:r>
      <w:rPr>
        <w:rFonts w:asciiTheme="majorBidi" w:hAnsiTheme="majorBidi" w:cstheme="majorBidi"/>
        <w:b/>
        <w:bCs/>
        <w:lang w:val="fr"/>
      </w:rPr>
      <w:instrText xml:space="preserve"> PAGE   \* MERGEFORMAT </w:instrText>
    </w:r>
    <w:r>
      <w:rPr>
        <w:rFonts w:asciiTheme="majorBidi" w:hAnsiTheme="majorBidi" w:cstheme="majorBidi"/>
        <w:b/>
        <w:bCs/>
        <w:lang w:val="fr"/>
      </w:rPr>
      <w:fldChar w:fldCharType="separate"/>
    </w:r>
    <w:r w:rsidR="007F2C2C">
      <w:rPr>
        <w:rFonts w:asciiTheme="majorBidi" w:hAnsiTheme="majorBidi" w:cstheme="majorBidi"/>
        <w:b/>
        <w:bCs/>
        <w:noProof/>
        <w:lang w:val="fr"/>
      </w:rPr>
      <w:t>8</w:t>
    </w:r>
    <w:r>
      <w:rPr>
        <w:rFonts w:asciiTheme="majorBidi" w:hAnsiTheme="majorBidi" w:cstheme="majorBidi"/>
        <w:noProof/>
        <w:lang w:val="fr"/>
      </w:rPr>
      <w:fldChar w:fldCharType="end"/>
    </w:r>
  </w:p>
  <w:p w14:paraId="32630F18" w14:textId="77777777" w:rsidR="00AE4421" w:rsidRDefault="00AE4421" w:rsidP="00BD60F7">
    <w:pPr>
      <w:pStyle w:val="Header"/>
      <w:rPr>
        <w:rFonts w:asciiTheme="majorBidi" w:hAnsiTheme="majorBidi" w:cstheme="majorBidi"/>
        <w:b/>
        <w:bCs/>
        <w:noProof/>
      </w:rPr>
    </w:pPr>
  </w:p>
  <w:p w14:paraId="1D46D214" w14:textId="77777777" w:rsidR="00AE4421" w:rsidRPr="007608DB" w:rsidRDefault="00AE4421" w:rsidP="00BD60F7">
    <w:pPr>
      <w:pStyle w:val="Header"/>
      <w:rPr>
        <w:rFonts w:asciiTheme="majorBidi" w:hAnsiTheme="majorBidi" w:cstheme="majorBidi"/>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478B4A" w14:textId="77777777" w:rsidR="007F2C2C" w:rsidRDefault="007F2C2C" w:rsidP="00BD60F7">
    <w:pPr>
      <w:pStyle w:val="Header"/>
      <w:jc w:val="right"/>
      <w:rPr>
        <w:rFonts w:asciiTheme="majorBidi" w:hAnsiTheme="majorBidi" w:cstheme="majorBidi"/>
        <w:b/>
        <w:bCs/>
        <w:lang w:val="fr"/>
      </w:rPr>
    </w:pPr>
    <w:r>
      <w:rPr>
        <w:rFonts w:cs="Times New Roman"/>
        <w:b/>
        <w:bCs/>
        <w:lang w:val="fr"/>
      </w:rPr>
      <w:t>PIC13/S7/1/</w:t>
    </w:r>
    <w:r w:rsidRPr="00EE63F9">
      <w:rPr>
        <w:rFonts w:cs="Times New Roman"/>
        <w:b/>
        <w:bCs/>
        <w:lang w:val="fr"/>
      </w:rPr>
      <w:t>Info</w:t>
    </w:r>
    <w:r>
      <w:rPr>
        <w:rFonts w:asciiTheme="majorBidi" w:hAnsiTheme="majorBidi" w:cstheme="majorBidi"/>
        <w:b/>
        <w:bCs/>
        <w:lang w:val="fr"/>
      </w:rPr>
      <w:t xml:space="preserve"> </w:t>
    </w:r>
  </w:p>
  <w:p w14:paraId="5B42FAAC" w14:textId="39B752EA" w:rsidR="00AE4421" w:rsidRDefault="00AE4421" w:rsidP="00BD60F7">
    <w:pPr>
      <w:pStyle w:val="Header"/>
      <w:jc w:val="right"/>
      <w:rPr>
        <w:rFonts w:asciiTheme="majorBidi" w:hAnsiTheme="majorBidi" w:cstheme="majorBidi"/>
        <w:b/>
        <w:bCs/>
        <w:noProof/>
      </w:rPr>
    </w:pPr>
    <w:proofErr w:type="gramStart"/>
    <w:r>
      <w:rPr>
        <w:rFonts w:asciiTheme="majorBidi" w:hAnsiTheme="majorBidi" w:cstheme="majorBidi"/>
        <w:b/>
        <w:bCs/>
        <w:lang w:val="fr"/>
      </w:rPr>
      <w:t>page</w:t>
    </w:r>
    <w:proofErr w:type="gramEnd"/>
    <w:r>
      <w:rPr>
        <w:rFonts w:asciiTheme="majorBidi" w:hAnsiTheme="majorBidi" w:cstheme="majorBidi"/>
        <w:b/>
        <w:bCs/>
        <w:lang w:val="fr"/>
      </w:rPr>
      <w:t xml:space="preserve"> </w:t>
    </w:r>
    <w:r>
      <w:rPr>
        <w:rFonts w:asciiTheme="majorBidi" w:hAnsiTheme="majorBidi" w:cstheme="majorBidi"/>
        <w:b/>
        <w:bCs/>
        <w:lang w:val="fr"/>
      </w:rPr>
      <w:fldChar w:fldCharType="begin"/>
    </w:r>
    <w:r>
      <w:rPr>
        <w:rFonts w:asciiTheme="majorBidi" w:hAnsiTheme="majorBidi" w:cstheme="majorBidi"/>
        <w:b/>
        <w:bCs/>
        <w:lang w:val="fr"/>
      </w:rPr>
      <w:instrText xml:space="preserve"> PAGE   \* MERGEFORMAT </w:instrText>
    </w:r>
    <w:r>
      <w:rPr>
        <w:rFonts w:asciiTheme="majorBidi" w:hAnsiTheme="majorBidi" w:cstheme="majorBidi"/>
        <w:b/>
        <w:bCs/>
        <w:lang w:val="fr"/>
      </w:rPr>
      <w:fldChar w:fldCharType="separate"/>
    </w:r>
    <w:r w:rsidR="00F129B2">
      <w:rPr>
        <w:rFonts w:asciiTheme="majorBidi" w:hAnsiTheme="majorBidi" w:cstheme="majorBidi"/>
        <w:b/>
        <w:bCs/>
        <w:noProof/>
        <w:lang w:val="fr"/>
      </w:rPr>
      <w:t>2</w:t>
    </w:r>
    <w:r>
      <w:rPr>
        <w:rFonts w:asciiTheme="majorBidi" w:hAnsiTheme="majorBidi" w:cstheme="majorBidi"/>
        <w:noProof/>
        <w:lang w:val="fr"/>
      </w:rPr>
      <w:fldChar w:fldCharType="end"/>
    </w:r>
  </w:p>
  <w:p w14:paraId="33978582" w14:textId="77777777" w:rsidR="00AE4421" w:rsidRDefault="00AE4421" w:rsidP="00BD60F7">
    <w:pPr>
      <w:pStyle w:val="Header"/>
      <w:jc w:val="right"/>
      <w:rPr>
        <w:rFonts w:asciiTheme="majorBidi" w:hAnsiTheme="majorBidi" w:cstheme="majorBidi"/>
        <w:b/>
        <w:bCs/>
        <w:noProof/>
      </w:rPr>
    </w:pPr>
  </w:p>
  <w:p w14:paraId="56E98AB7" w14:textId="77777777" w:rsidR="00AE4421" w:rsidRPr="007608DB" w:rsidRDefault="00AE4421" w:rsidP="00BD60F7">
    <w:pPr>
      <w:pStyle w:val="Header"/>
      <w:jc w:val="right"/>
      <w:rPr>
        <w:rFonts w:asciiTheme="majorBidi" w:hAnsiTheme="majorBidi" w:cstheme="majorBidi"/>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7E16F" w14:textId="6CF0CFFA" w:rsidR="00EE63F9" w:rsidRPr="00EE63F9" w:rsidRDefault="00EE63F9" w:rsidP="00F129B2">
    <w:pPr>
      <w:pStyle w:val="Header"/>
      <w:jc w:val="center"/>
    </w:pPr>
    <w:r>
      <w:rPr>
        <w:noProof/>
        <w:lang w:val="en-US" w:eastAsia="en-US"/>
      </w:rPr>
      <w:drawing>
        <wp:inline distT="0" distB="0" distL="0" distR="0" wp14:anchorId="6D67AC0B" wp14:editId="3D40165C">
          <wp:extent cx="5669280" cy="1431573"/>
          <wp:effectExtent l="0" t="0" r="7620" b="0"/>
          <wp:docPr id="1" name="Picture 1" descr="D:\Users\sealw\Desktop\PHMM\Graphics\13 PHMM mainbanner 2019 small 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sealw\Desktop\PHMM\Graphics\13 PHMM mainbanner 2019 small F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69979" cy="143174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444B5"/>
    <w:multiLevelType w:val="hybridMultilevel"/>
    <w:tmpl w:val="27984B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B403A1C"/>
    <w:multiLevelType w:val="hybridMultilevel"/>
    <w:tmpl w:val="25FCB0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0FFE2F32"/>
    <w:multiLevelType w:val="singleLevel"/>
    <w:tmpl w:val="93E2C434"/>
    <w:lvl w:ilvl="0">
      <w:start w:val="1995"/>
      <w:numFmt w:val="decimal"/>
      <w:lvlText w:val="%1"/>
      <w:lvlJc w:val="left"/>
      <w:pPr>
        <w:tabs>
          <w:tab w:val="num" w:pos="720"/>
        </w:tabs>
        <w:ind w:left="720" w:hanging="720"/>
      </w:pPr>
      <w:rPr>
        <w:rFonts w:hint="default"/>
        <w:b/>
      </w:rPr>
    </w:lvl>
  </w:abstractNum>
  <w:abstractNum w:abstractNumId="3">
    <w:nsid w:val="118E3335"/>
    <w:multiLevelType w:val="multilevel"/>
    <w:tmpl w:val="8CD2F5C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nsid w:val="13461BC5"/>
    <w:multiLevelType w:val="hybridMultilevel"/>
    <w:tmpl w:val="FE267B56"/>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5">
    <w:nsid w:val="150F16BC"/>
    <w:multiLevelType w:val="hybridMultilevel"/>
    <w:tmpl w:val="BFC6B0C4"/>
    <w:lvl w:ilvl="0" w:tplc="FA72AD86">
      <w:numFmt w:val="bullet"/>
      <w:lvlText w:val=""/>
      <w:lvlJc w:val="left"/>
      <w:pPr>
        <w:ind w:left="1080" w:hanging="361"/>
      </w:pPr>
      <w:rPr>
        <w:rFonts w:ascii="Symbol" w:eastAsia="Symbol" w:hAnsi="Symbol" w:cs="Symbol" w:hint="default"/>
        <w:w w:val="100"/>
        <w:sz w:val="22"/>
        <w:szCs w:val="22"/>
      </w:rPr>
    </w:lvl>
    <w:lvl w:ilvl="1" w:tplc="87789A90">
      <w:numFmt w:val="bullet"/>
      <w:lvlText w:val="•"/>
      <w:lvlJc w:val="left"/>
      <w:pPr>
        <w:ind w:left="2014" w:hanging="361"/>
      </w:pPr>
      <w:rPr>
        <w:rFonts w:hint="default"/>
      </w:rPr>
    </w:lvl>
    <w:lvl w:ilvl="2" w:tplc="0D0AAF34">
      <w:numFmt w:val="bullet"/>
      <w:lvlText w:val="•"/>
      <w:lvlJc w:val="left"/>
      <w:pPr>
        <w:ind w:left="2949" w:hanging="361"/>
      </w:pPr>
      <w:rPr>
        <w:rFonts w:hint="default"/>
      </w:rPr>
    </w:lvl>
    <w:lvl w:ilvl="3" w:tplc="D854CDB8">
      <w:numFmt w:val="bullet"/>
      <w:lvlText w:val="•"/>
      <w:lvlJc w:val="left"/>
      <w:pPr>
        <w:ind w:left="3883" w:hanging="361"/>
      </w:pPr>
      <w:rPr>
        <w:rFonts w:hint="default"/>
      </w:rPr>
    </w:lvl>
    <w:lvl w:ilvl="4" w:tplc="8E7A4FD4">
      <w:numFmt w:val="bullet"/>
      <w:lvlText w:val="•"/>
      <w:lvlJc w:val="left"/>
      <w:pPr>
        <w:ind w:left="4818" w:hanging="361"/>
      </w:pPr>
      <w:rPr>
        <w:rFonts w:hint="default"/>
      </w:rPr>
    </w:lvl>
    <w:lvl w:ilvl="5" w:tplc="F52C4F46">
      <w:numFmt w:val="bullet"/>
      <w:lvlText w:val="•"/>
      <w:lvlJc w:val="left"/>
      <w:pPr>
        <w:ind w:left="5753" w:hanging="361"/>
      </w:pPr>
      <w:rPr>
        <w:rFonts w:hint="default"/>
      </w:rPr>
    </w:lvl>
    <w:lvl w:ilvl="6" w:tplc="B7363EFE">
      <w:numFmt w:val="bullet"/>
      <w:lvlText w:val="•"/>
      <w:lvlJc w:val="left"/>
      <w:pPr>
        <w:ind w:left="6687" w:hanging="361"/>
      </w:pPr>
      <w:rPr>
        <w:rFonts w:hint="default"/>
      </w:rPr>
    </w:lvl>
    <w:lvl w:ilvl="7" w:tplc="FA4A8774">
      <w:numFmt w:val="bullet"/>
      <w:lvlText w:val="•"/>
      <w:lvlJc w:val="left"/>
      <w:pPr>
        <w:ind w:left="7622" w:hanging="361"/>
      </w:pPr>
      <w:rPr>
        <w:rFonts w:hint="default"/>
      </w:rPr>
    </w:lvl>
    <w:lvl w:ilvl="8" w:tplc="09E872B4">
      <w:numFmt w:val="bullet"/>
      <w:lvlText w:val="•"/>
      <w:lvlJc w:val="left"/>
      <w:pPr>
        <w:ind w:left="8557" w:hanging="361"/>
      </w:pPr>
      <w:rPr>
        <w:rFonts w:hint="default"/>
      </w:rPr>
    </w:lvl>
  </w:abstractNum>
  <w:abstractNum w:abstractNumId="6">
    <w:nsid w:val="18826759"/>
    <w:multiLevelType w:val="multilevel"/>
    <w:tmpl w:val="059A3D4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nsid w:val="190F1192"/>
    <w:multiLevelType w:val="multilevel"/>
    <w:tmpl w:val="953CC5E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nsid w:val="348B6E7F"/>
    <w:multiLevelType w:val="hybridMultilevel"/>
    <w:tmpl w:val="A1641C2A"/>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9">
    <w:nsid w:val="37D22216"/>
    <w:multiLevelType w:val="hybridMultilevel"/>
    <w:tmpl w:val="D90C542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4CC9115D"/>
    <w:multiLevelType w:val="multilevel"/>
    <w:tmpl w:val="95E29E52"/>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4CF93C7F"/>
    <w:multiLevelType w:val="multilevel"/>
    <w:tmpl w:val="42EE1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FC748AA"/>
    <w:multiLevelType w:val="hybridMultilevel"/>
    <w:tmpl w:val="F1F6FB26"/>
    <w:lvl w:ilvl="0" w:tplc="421ED452">
      <w:start w:val="1"/>
      <w:numFmt w:val="decimal"/>
      <w:lvlText w:val="%1."/>
      <w:lvlJc w:val="left"/>
      <w:pPr>
        <w:ind w:left="990" w:hanging="360"/>
      </w:pPr>
      <w:rPr>
        <w:rFonts w:hint="default"/>
        <w:b w:val="0"/>
        <w:sz w:val="22"/>
        <w:szCs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520D0C79"/>
    <w:multiLevelType w:val="hybridMultilevel"/>
    <w:tmpl w:val="F32C83B0"/>
    <w:lvl w:ilvl="0" w:tplc="04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5F5B5DF1"/>
    <w:multiLevelType w:val="multilevel"/>
    <w:tmpl w:val="44781B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FB15012"/>
    <w:multiLevelType w:val="hybridMultilevel"/>
    <w:tmpl w:val="C6B80E14"/>
    <w:lvl w:ilvl="0" w:tplc="BD12E94C">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61BC358D"/>
    <w:multiLevelType w:val="multilevel"/>
    <w:tmpl w:val="1EFCFEC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67586EFF"/>
    <w:multiLevelType w:val="multilevel"/>
    <w:tmpl w:val="90BE642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6DEF41D4"/>
    <w:multiLevelType w:val="multilevel"/>
    <w:tmpl w:val="F32C83B0"/>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74E37561"/>
    <w:multiLevelType w:val="multilevel"/>
    <w:tmpl w:val="AA446C56"/>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752C652A"/>
    <w:multiLevelType w:val="hybridMultilevel"/>
    <w:tmpl w:val="A5FE8A94"/>
    <w:lvl w:ilvl="0" w:tplc="CC2E9A32">
      <w:start w:val="1"/>
      <w:numFmt w:val="lowerRoman"/>
      <w:lvlText w:val="%1."/>
      <w:lvlJc w:val="left"/>
      <w:pPr>
        <w:tabs>
          <w:tab w:val="num" w:pos="720"/>
        </w:tabs>
        <w:ind w:left="720" w:hanging="360"/>
      </w:pPr>
      <w:rPr>
        <w:rFonts w:hint="default"/>
      </w:rPr>
    </w:lvl>
    <w:lvl w:ilvl="1" w:tplc="C6820A4C" w:tentative="1">
      <w:start w:val="1"/>
      <w:numFmt w:val="decimal"/>
      <w:lvlText w:val="%2."/>
      <w:lvlJc w:val="left"/>
      <w:pPr>
        <w:tabs>
          <w:tab w:val="num" w:pos="1440"/>
        </w:tabs>
        <w:ind w:left="1440" w:hanging="360"/>
      </w:pPr>
    </w:lvl>
    <w:lvl w:ilvl="2" w:tplc="63285D50" w:tentative="1">
      <w:start w:val="1"/>
      <w:numFmt w:val="decimal"/>
      <w:lvlText w:val="%3."/>
      <w:lvlJc w:val="left"/>
      <w:pPr>
        <w:tabs>
          <w:tab w:val="num" w:pos="2160"/>
        </w:tabs>
        <w:ind w:left="2160" w:hanging="360"/>
      </w:pPr>
    </w:lvl>
    <w:lvl w:ilvl="3" w:tplc="3B103876" w:tentative="1">
      <w:start w:val="1"/>
      <w:numFmt w:val="decimal"/>
      <w:lvlText w:val="%4."/>
      <w:lvlJc w:val="left"/>
      <w:pPr>
        <w:tabs>
          <w:tab w:val="num" w:pos="2880"/>
        </w:tabs>
        <w:ind w:left="2880" w:hanging="360"/>
      </w:pPr>
    </w:lvl>
    <w:lvl w:ilvl="4" w:tplc="4E3A5D8A" w:tentative="1">
      <w:start w:val="1"/>
      <w:numFmt w:val="decimal"/>
      <w:lvlText w:val="%5."/>
      <w:lvlJc w:val="left"/>
      <w:pPr>
        <w:tabs>
          <w:tab w:val="num" w:pos="3600"/>
        </w:tabs>
        <w:ind w:left="3600" w:hanging="360"/>
      </w:pPr>
    </w:lvl>
    <w:lvl w:ilvl="5" w:tplc="D65ADB5E" w:tentative="1">
      <w:start w:val="1"/>
      <w:numFmt w:val="decimal"/>
      <w:lvlText w:val="%6."/>
      <w:lvlJc w:val="left"/>
      <w:pPr>
        <w:tabs>
          <w:tab w:val="num" w:pos="4320"/>
        </w:tabs>
        <w:ind w:left="4320" w:hanging="360"/>
      </w:pPr>
    </w:lvl>
    <w:lvl w:ilvl="6" w:tplc="48BA91EC" w:tentative="1">
      <w:start w:val="1"/>
      <w:numFmt w:val="decimal"/>
      <w:lvlText w:val="%7."/>
      <w:lvlJc w:val="left"/>
      <w:pPr>
        <w:tabs>
          <w:tab w:val="num" w:pos="5040"/>
        </w:tabs>
        <w:ind w:left="5040" w:hanging="360"/>
      </w:pPr>
    </w:lvl>
    <w:lvl w:ilvl="7" w:tplc="94E0CBD2" w:tentative="1">
      <w:start w:val="1"/>
      <w:numFmt w:val="decimal"/>
      <w:lvlText w:val="%8."/>
      <w:lvlJc w:val="left"/>
      <w:pPr>
        <w:tabs>
          <w:tab w:val="num" w:pos="5760"/>
        </w:tabs>
        <w:ind w:left="5760" w:hanging="360"/>
      </w:pPr>
    </w:lvl>
    <w:lvl w:ilvl="8" w:tplc="E120420E" w:tentative="1">
      <w:start w:val="1"/>
      <w:numFmt w:val="decimal"/>
      <w:lvlText w:val="%9."/>
      <w:lvlJc w:val="left"/>
      <w:pPr>
        <w:tabs>
          <w:tab w:val="num" w:pos="6480"/>
        </w:tabs>
        <w:ind w:left="6480" w:hanging="360"/>
      </w:pPr>
    </w:lvl>
  </w:abstractNum>
  <w:num w:numId="1">
    <w:abstractNumId w:val="17"/>
  </w:num>
  <w:num w:numId="2">
    <w:abstractNumId w:val="13"/>
  </w:num>
  <w:num w:numId="3">
    <w:abstractNumId w:val="7"/>
  </w:num>
  <w:num w:numId="4">
    <w:abstractNumId w:val="3"/>
  </w:num>
  <w:num w:numId="5">
    <w:abstractNumId w:val="6"/>
  </w:num>
  <w:num w:numId="6">
    <w:abstractNumId w:val="8"/>
  </w:num>
  <w:num w:numId="7">
    <w:abstractNumId w:val="4"/>
  </w:num>
  <w:num w:numId="8">
    <w:abstractNumId w:val="12"/>
  </w:num>
  <w:num w:numId="9">
    <w:abstractNumId w:val="1"/>
  </w:num>
  <w:num w:numId="10">
    <w:abstractNumId w:val="9"/>
  </w:num>
  <w:num w:numId="11">
    <w:abstractNumId w:val="5"/>
  </w:num>
  <w:num w:numId="12">
    <w:abstractNumId w:val="18"/>
  </w:num>
  <w:num w:numId="13">
    <w:abstractNumId w:val="14"/>
  </w:num>
  <w:num w:numId="14">
    <w:abstractNumId w:val="11"/>
  </w:num>
  <w:num w:numId="15">
    <w:abstractNumId w:val="0"/>
  </w:num>
  <w:num w:numId="16">
    <w:abstractNumId w:val="15"/>
  </w:num>
  <w:num w:numId="17">
    <w:abstractNumId w:val="16"/>
  </w:num>
  <w:num w:numId="18">
    <w:abstractNumId w:val="2"/>
  </w:num>
  <w:num w:numId="19">
    <w:abstractNumId w:val="20"/>
  </w:num>
  <w:num w:numId="20">
    <w:abstractNumId w:val="19"/>
  </w:num>
  <w:num w:numId="21">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displayBackgroundShape/>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2EA"/>
    <w:rsid w:val="00001BED"/>
    <w:rsid w:val="000028D0"/>
    <w:rsid w:val="000035A9"/>
    <w:rsid w:val="00004434"/>
    <w:rsid w:val="00005284"/>
    <w:rsid w:val="00005F52"/>
    <w:rsid w:val="000103B4"/>
    <w:rsid w:val="00011807"/>
    <w:rsid w:val="000130E1"/>
    <w:rsid w:val="00013922"/>
    <w:rsid w:val="000157E3"/>
    <w:rsid w:val="00021180"/>
    <w:rsid w:val="000212BC"/>
    <w:rsid w:val="00021611"/>
    <w:rsid w:val="000236AD"/>
    <w:rsid w:val="00031817"/>
    <w:rsid w:val="000330E5"/>
    <w:rsid w:val="000339B7"/>
    <w:rsid w:val="000357A1"/>
    <w:rsid w:val="00044808"/>
    <w:rsid w:val="0004524D"/>
    <w:rsid w:val="0004636F"/>
    <w:rsid w:val="0004739D"/>
    <w:rsid w:val="00051326"/>
    <w:rsid w:val="000517AC"/>
    <w:rsid w:val="00053405"/>
    <w:rsid w:val="00053881"/>
    <w:rsid w:val="00053FDA"/>
    <w:rsid w:val="0005758A"/>
    <w:rsid w:val="00057746"/>
    <w:rsid w:val="00057EEB"/>
    <w:rsid w:val="00060171"/>
    <w:rsid w:val="000609B3"/>
    <w:rsid w:val="000622A3"/>
    <w:rsid w:val="0006351E"/>
    <w:rsid w:val="0006358F"/>
    <w:rsid w:val="00063FDB"/>
    <w:rsid w:val="000646B3"/>
    <w:rsid w:val="0006521D"/>
    <w:rsid w:val="00065A23"/>
    <w:rsid w:val="00070C77"/>
    <w:rsid w:val="0007106D"/>
    <w:rsid w:val="00072074"/>
    <w:rsid w:val="00073CE9"/>
    <w:rsid w:val="0007551E"/>
    <w:rsid w:val="00075B2E"/>
    <w:rsid w:val="00077D05"/>
    <w:rsid w:val="00080A86"/>
    <w:rsid w:val="00080E73"/>
    <w:rsid w:val="0008102B"/>
    <w:rsid w:val="00081EEF"/>
    <w:rsid w:val="00085516"/>
    <w:rsid w:val="0008603A"/>
    <w:rsid w:val="000865E3"/>
    <w:rsid w:val="00090851"/>
    <w:rsid w:val="00091380"/>
    <w:rsid w:val="00091DC6"/>
    <w:rsid w:val="000930AB"/>
    <w:rsid w:val="000936DF"/>
    <w:rsid w:val="000940E0"/>
    <w:rsid w:val="00094D2B"/>
    <w:rsid w:val="0009537E"/>
    <w:rsid w:val="000964EF"/>
    <w:rsid w:val="00096B43"/>
    <w:rsid w:val="000A1838"/>
    <w:rsid w:val="000A3090"/>
    <w:rsid w:val="000A3107"/>
    <w:rsid w:val="000A4CC5"/>
    <w:rsid w:val="000A50F2"/>
    <w:rsid w:val="000A6201"/>
    <w:rsid w:val="000A6500"/>
    <w:rsid w:val="000A7305"/>
    <w:rsid w:val="000A7661"/>
    <w:rsid w:val="000B07B4"/>
    <w:rsid w:val="000B22EA"/>
    <w:rsid w:val="000B2BA4"/>
    <w:rsid w:val="000B3376"/>
    <w:rsid w:val="000B683B"/>
    <w:rsid w:val="000C2038"/>
    <w:rsid w:val="000C441F"/>
    <w:rsid w:val="000C617B"/>
    <w:rsid w:val="000C6336"/>
    <w:rsid w:val="000D032C"/>
    <w:rsid w:val="000D28B0"/>
    <w:rsid w:val="000D4B86"/>
    <w:rsid w:val="000D631C"/>
    <w:rsid w:val="000D66D6"/>
    <w:rsid w:val="000D70E9"/>
    <w:rsid w:val="000E0FE6"/>
    <w:rsid w:val="000E15C6"/>
    <w:rsid w:val="000E19CD"/>
    <w:rsid w:val="000E31D2"/>
    <w:rsid w:val="000E4491"/>
    <w:rsid w:val="000E5212"/>
    <w:rsid w:val="000E5D0A"/>
    <w:rsid w:val="000E6630"/>
    <w:rsid w:val="000E6C33"/>
    <w:rsid w:val="000F0A55"/>
    <w:rsid w:val="000F17EA"/>
    <w:rsid w:val="000F34F6"/>
    <w:rsid w:val="000F5EF1"/>
    <w:rsid w:val="000F67C8"/>
    <w:rsid w:val="000F7C44"/>
    <w:rsid w:val="001047D4"/>
    <w:rsid w:val="0010585B"/>
    <w:rsid w:val="00106D4E"/>
    <w:rsid w:val="0010770D"/>
    <w:rsid w:val="00113026"/>
    <w:rsid w:val="0011462B"/>
    <w:rsid w:val="00114B13"/>
    <w:rsid w:val="001214F0"/>
    <w:rsid w:val="00121617"/>
    <w:rsid w:val="001218CE"/>
    <w:rsid w:val="0012260B"/>
    <w:rsid w:val="0012352C"/>
    <w:rsid w:val="00124E49"/>
    <w:rsid w:val="00125C16"/>
    <w:rsid w:val="00126767"/>
    <w:rsid w:val="00126794"/>
    <w:rsid w:val="00126D12"/>
    <w:rsid w:val="00127820"/>
    <w:rsid w:val="00131D3C"/>
    <w:rsid w:val="00141827"/>
    <w:rsid w:val="00144AFC"/>
    <w:rsid w:val="001478F5"/>
    <w:rsid w:val="00147EC4"/>
    <w:rsid w:val="0015067D"/>
    <w:rsid w:val="00150E8C"/>
    <w:rsid w:val="00151DDC"/>
    <w:rsid w:val="00152E28"/>
    <w:rsid w:val="00154857"/>
    <w:rsid w:val="001549B8"/>
    <w:rsid w:val="0015752E"/>
    <w:rsid w:val="001645ED"/>
    <w:rsid w:val="001660FA"/>
    <w:rsid w:val="00166687"/>
    <w:rsid w:val="00166728"/>
    <w:rsid w:val="00166CD2"/>
    <w:rsid w:val="00166F39"/>
    <w:rsid w:val="00170ADA"/>
    <w:rsid w:val="00172B5F"/>
    <w:rsid w:val="00173C3D"/>
    <w:rsid w:val="00174414"/>
    <w:rsid w:val="00175CFD"/>
    <w:rsid w:val="001775FD"/>
    <w:rsid w:val="001815CA"/>
    <w:rsid w:val="00181925"/>
    <w:rsid w:val="00181BA3"/>
    <w:rsid w:val="00185ADC"/>
    <w:rsid w:val="00185BDA"/>
    <w:rsid w:val="00192CD9"/>
    <w:rsid w:val="00193125"/>
    <w:rsid w:val="001934EC"/>
    <w:rsid w:val="00194C54"/>
    <w:rsid w:val="00195526"/>
    <w:rsid w:val="001A014D"/>
    <w:rsid w:val="001A068D"/>
    <w:rsid w:val="001A0F5F"/>
    <w:rsid w:val="001A18B9"/>
    <w:rsid w:val="001A2492"/>
    <w:rsid w:val="001A47A0"/>
    <w:rsid w:val="001A4EFC"/>
    <w:rsid w:val="001B1D81"/>
    <w:rsid w:val="001B2385"/>
    <w:rsid w:val="001B45FD"/>
    <w:rsid w:val="001B53A5"/>
    <w:rsid w:val="001B595B"/>
    <w:rsid w:val="001C034B"/>
    <w:rsid w:val="001C1778"/>
    <w:rsid w:val="001C26B3"/>
    <w:rsid w:val="001C37CE"/>
    <w:rsid w:val="001C38F8"/>
    <w:rsid w:val="001D14F0"/>
    <w:rsid w:val="001D1BDD"/>
    <w:rsid w:val="001D26D3"/>
    <w:rsid w:val="001D6465"/>
    <w:rsid w:val="001D6607"/>
    <w:rsid w:val="001E1B13"/>
    <w:rsid w:val="001E2E4F"/>
    <w:rsid w:val="001E46F5"/>
    <w:rsid w:val="001E4A38"/>
    <w:rsid w:val="001E51A1"/>
    <w:rsid w:val="001F038E"/>
    <w:rsid w:val="001F1D88"/>
    <w:rsid w:val="001F3354"/>
    <w:rsid w:val="001F577A"/>
    <w:rsid w:val="001F6C62"/>
    <w:rsid w:val="001F7017"/>
    <w:rsid w:val="00200757"/>
    <w:rsid w:val="002007E7"/>
    <w:rsid w:val="00211607"/>
    <w:rsid w:val="002122F7"/>
    <w:rsid w:val="00217F01"/>
    <w:rsid w:val="00220E92"/>
    <w:rsid w:val="00221229"/>
    <w:rsid w:val="002214F6"/>
    <w:rsid w:val="0022338A"/>
    <w:rsid w:val="00223E04"/>
    <w:rsid w:val="00223F11"/>
    <w:rsid w:val="002240A3"/>
    <w:rsid w:val="00226E91"/>
    <w:rsid w:val="0022780C"/>
    <w:rsid w:val="0023054F"/>
    <w:rsid w:val="00232B56"/>
    <w:rsid w:val="0023352A"/>
    <w:rsid w:val="00233644"/>
    <w:rsid w:val="00233659"/>
    <w:rsid w:val="00233747"/>
    <w:rsid w:val="00241110"/>
    <w:rsid w:val="00241C46"/>
    <w:rsid w:val="00243417"/>
    <w:rsid w:val="002439E1"/>
    <w:rsid w:val="00244B42"/>
    <w:rsid w:val="00251BFF"/>
    <w:rsid w:val="002564F0"/>
    <w:rsid w:val="0025775A"/>
    <w:rsid w:val="00257D05"/>
    <w:rsid w:val="00260AE1"/>
    <w:rsid w:val="00260F9A"/>
    <w:rsid w:val="00262450"/>
    <w:rsid w:val="00262AEA"/>
    <w:rsid w:val="00263A9B"/>
    <w:rsid w:val="00263BA9"/>
    <w:rsid w:val="00265C4C"/>
    <w:rsid w:val="00266110"/>
    <w:rsid w:val="00266CBB"/>
    <w:rsid w:val="002677B3"/>
    <w:rsid w:val="00270596"/>
    <w:rsid w:val="00271E93"/>
    <w:rsid w:val="0027335F"/>
    <w:rsid w:val="00274684"/>
    <w:rsid w:val="00274FBF"/>
    <w:rsid w:val="00275836"/>
    <w:rsid w:val="0027646C"/>
    <w:rsid w:val="00276BC2"/>
    <w:rsid w:val="00280ADB"/>
    <w:rsid w:val="00281C02"/>
    <w:rsid w:val="00283F3D"/>
    <w:rsid w:val="002840E5"/>
    <w:rsid w:val="0028447C"/>
    <w:rsid w:val="00286272"/>
    <w:rsid w:val="00286473"/>
    <w:rsid w:val="00287C2C"/>
    <w:rsid w:val="00290C4C"/>
    <w:rsid w:val="00290DA3"/>
    <w:rsid w:val="002916EE"/>
    <w:rsid w:val="002A09CD"/>
    <w:rsid w:val="002A0B3B"/>
    <w:rsid w:val="002A2210"/>
    <w:rsid w:val="002A22F9"/>
    <w:rsid w:val="002A4128"/>
    <w:rsid w:val="002A5D02"/>
    <w:rsid w:val="002A5F64"/>
    <w:rsid w:val="002A6F1B"/>
    <w:rsid w:val="002A7C40"/>
    <w:rsid w:val="002B4367"/>
    <w:rsid w:val="002B4B36"/>
    <w:rsid w:val="002B4C9D"/>
    <w:rsid w:val="002B643D"/>
    <w:rsid w:val="002B6496"/>
    <w:rsid w:val="002B6504"/>
    <w:rsid w:val="002B6ECD"/>
    <w:rsid w:val="002B7626"/>
    <w:rsid w:val="002C24B4"/>
    <w:rsid w:val="002C2AD0"/>
    <w:rsid w:val="002C32BC"/>
    <w:rsid w:val="002C47A5"/>
    <w:rsid w:val="002C5CEB"/>
    <w:rsid w:val="002C7BBE"/>
    <w:rsid w:val="002D04EA"/>
    <w:rsid w:val="002D1822"/>
    <w:rsid w:val="002D1E4D"/>
    <w:rsid w:val="002D4A80"/>
    <w:rsid w:val="002D5F74"/>
    <w:rsid w:val="002D7683"/>
    <w:rsid w:val="002E1E9C"/>
    <w:rsid w:val="002E48A3"/>
    <w:rsid w:val="002F1038"/>
    <w:rsid w:val="002F24BA"/>
    <w:rsid w:val="002F267B"/>
    <w:rsid w:val="002F3250"/>
    <w:rsid w:val="002F3C26"/>
    <w:rsid w:val="002F46B7"/>
    <w:rsid w:val="00303F03"/>
    <w:rsid w:val="00304BCD"/>
    <w:rsid w:val="00305232"/>
    <w:rsid w:val="00306202"/>
    <w:rsid w:val="0031208C"/>
    <w:rsid w:val="0031312A"/>
    <w:rsid w:val="00315DA5"/>
    <w:rsid w:val="003160F4"/>
    <w:rsid w:val="00317429"/>
    <w:rsid w:val="00320BF8"/>
    <w:rsid w:val="00321839"/>
    <w:rsid w:val="00321B6E"/>
    <w:rsid w:val="00323006"/>
    <w:rsid w:val="003262C1"/>
    <w:rsid w:val="00326E68"/>
    <w:rsid w:val="003307C6"/>
    <w:rsid w:val="003318EA"/>
    <w:rsid w:val="003321CF"/>
    <w:rsid w:val="00332BF4"/>
    <w:rsid w:val="00332FD5"/>
    <w:rsid w:val="00333DE1"/>
    <w:rsid w:val="00334E44"/>
    <w:rsid w:val="0033576F"/>
    <w:rsid w:val="00341DFC"/>
    <w:rsid w:val="003437FC"/>
    <w:rsid w:val="00343B05"/>
    <w:rsid w:val="0034453B"/>
    <w:rsid w:val="00345E46"/>
    <w:rsid w:val="00347141"/>
    <w:rsid w:val="00347D57"/>
    <w:rsid w:val="00352346"/>
    <w:rsid w:val="003524DF"/>
    <w:rsid w:val="00352844"/>
    <w:rsid w:val="00353BB6"/>
    <w:rsid w:val="00361D92"/>
    <w:rsid w:val="00362BE8"/>
    <w:rsid w:val="00363999"/>
    <w:rsid w:val="00363B5A"/>
    <w:rsid w:val="003647B9"/>
    <w:rsid w:val="003653F4"/>
    <w:rsid w:val="003662CB"/>
    <w:rsid w:val="0037231D"/>
    <w:rsid w:val="00372D69"/>
    <w:rsid w:val="00373184"/>
    <w:rsid w:val="00373297"/>
    <w:rsid w:val="00373585"/>
    <w:rsid w:val="00373985"/>
    <w:rsid w:val="0037460D"/>
    <w:rsid w:val="003801B3"/>
    <w:rsid w:val="003848C6"/>
    <w:rsid w:val="00391375"/>
    <w:rsid w:val="00391C32"/>
    <w:rsid w:val="0039202C"/>
    <w:rsid w:val="0039746A"/>
    <w:rsid w:val="003977B0"/>
    <w:rsid w:val="003A18F3"/>
    <w:rsid w:val="003A5785"/>
    <w:rsid w:val="003A5BF8"/>
    <w:rsid w:val="003A7A3E"/>
    <w:rsid w:val="003B0C3B"/>
    <w:rsid w:val="003B2484"/>
    <w:rsid w:val="003B33B9"/>
    <w:rsid w:val="003B465A"/>
    <w:rsid w:val="003B603E"/>
    <w:rsid w:val="003B7A60"/>
    <w:rsid w:val="003C1B8C"/>
    <w:rsid w:val="003D00DA"/>
    <w:rsid w:val="003D0494"/>
    <w:rsid w:val="003D0776"/>
    <w:rsid w:val="003D35A8"/>
    <w:rsid w:val="003D594F"/>
    <w:rsid w:val="003E34AA"/>
    <w:rsid w:val="003E5359"/>
    <w:rsid w:val="003E5EE4"/>
    <w:rsid w:val="003E63F3"/>
    <w:rsid w:val="003E661C"/>
    <w:rsid w:val="003E6D5D"/>
    <w:rsid w:val="003E7149"/>
    <w:rsid w:val="003F13A5"/>
    <w:rsid w:val="003F1F6A"/>
    <w:rsid w:val="003F782D"/>
    <w:rsid w:val="004037B6"/>
    <w:rsid w:val="00403B84"/>
    <w:rsid w:val="0040421F"/>
    <w:rsid w:val="00404802"/>
    <w:rsid w:val="00405361"/>
    <w:rsid w:val="00412625"/>
    <w:rsid w:val="00413521"/>
    <w:rsid w:val="004147C8"/>
    <w:rsid w:val="00422252"/>
    <w:rsid w:val="004231BE"/>
    <w:rsid w:val="00423FF6"/>
    <w:rsid w:val="004243AA"/>
    <w:rsid w:val="00424479"/>
    <w:rsid w:val="00424E69"/>
    <w:rsid w:val="0042627B"/>
    <w:rsid w:val="00426994"/>
    <w:rsid w:val="00426C42"/>
    <w:rsid w:val="004306F0"/>
    <w:rsid w:val="00430812"/>
    <w:rsid w:val="00434873"/>
    <w:rsid w:val="00435464"/>
    <w:rsid w:val="00436C80"/>
    <w:rsid w:val="00440011"/>
    <w:rsid w:val="0044045F"/>
    <w:rsid w:val="004438C0"/>
    <w:rsid w:val="004466BF"/>
    <w:rsid w:val="004501F7"/>
    <w:rsid w:val="00453276"/>
    <w:rsid w:val="00453543"/>
    <w:rsid w:val="00457E6A"/>
    <w:rsid w:val="00461CDE"/>
    <w:rsid w:val="00464121"/>
    <w:rsid w:val="004657B5"/>
    <w:rsid w:val="0047039F"/>
    <w:rsid w:val="00470AAA"/>
    <w:rsid w:val="00471432"/>
    <w:rsid w:val="004719D7"/>
    <w:rsid w:val="00472960"/>
    <w:rsid w:val="00475C88"/>
    <w:rsid w:val="0047652F"/>
    <w:rsid w:val="004805A7"/>
    <w:rsid w:val="00483A00"/>
    <w:rsid w:val="00483B3A"/>
    <w:rsid w:val="00484F53"/>
    <w:rsid w:val="004866E6"/>
    <w:rsid w:val="00487AA0"/>
    <w:rsid w:val="00487FCF"/>
    <w:rsid w:val="00492385"/>
    <w:rsid w:val="004934DD"/>
    <w:rsid w:val="0049356C"/>
    <w:rsid w:val="00496AC7"/>
    <w:rsid w:val="004A1C60"/>
    <w:rsid w:val="004A2696"/>
    <w:rsid w:val="004A3540"/>
    <w:rsid w:val="004A575F"/>
    <w:rsid w:val="004A6502"/>
    <w:rsid w:val="004A7651"/>
    <w:rsid w:val="004B1395"/>
    <w:rsid w:val="004B2E6E"/>
    <w:rsid w:val="004B32E7"/>
    <w:rsid w:val="004B3EA8"/>
    <w:rsid w:val="004B441F"/>
    <w:rsid w:val="004B5D52"/>
    <w:rsid w:val="004B716B"/>
    <w:rsid w:val="004B78B6"/>
    <w:rsid w:val="004C2316"/>
    <w:rsid w:val="004C3CA8"/>
    <w:rsid w:val="004C49BF"/>
    <w:rsid w:val="004C5D38"/>
    <w:rsid w:val="004C6946"/>
    <w:rsid w:val="004C6EAB"/>
    <w:rsid w:val="004C7B58"/>
    <w:rsid w:val="004C7BF4"/>
    <w:rsid w:val="004D0060"/>
    <w:rsid w:val="004D2612"/>
    <w:rsid w:val="004D3ADE"/>
    <w:rsid w:val="004D3C8F"/>
    <w:rsid w:val="004D43AC"/>
    <w:rsid w:val="004D57E5"/>
    <w:rsid w:val="004D6C35"/>
    <w:rsid w:val="004E05DF"/>
    <w:rsid w:val="004E081E"/>
    <w:rsid w:val="004E0DBC"/>
    <w:rsid w:val="004E1821"/>
    <w:rsid w:val="004E1B5C"/>
    <w:rsid w:val="004E3E27"/>
    <w:rsid w:val="004E426A"/>
    <w:rsid w:val="004E4609"/>
    <w:rsid w:val="004E480B"/>
    <w:rsid w:val="004E4A10"/>
    <w:rsid w:val="004E4A66"/>
    <w:rsid w:val="004E4B10"/>
    <w:rsid w:val="004E4DAA"/>
    <w:rsid w:val="004F3070"/>
    <w:rsid w:val="004F446A"/>
    <w:rsid w:val="004F47DB"/>
    <w:rsid w:val="004F4931"/>
    <w:rsid w:val="00500248"/>
    <w:rsid w:val="005017DB"/>
    <w:rsid w:val="00501D03"/>
    <w:rsid w:val="00502496"/>
    <w:rsid w:val="0050422B"/>
    <w:rsid w:val="0050591B"/>
    <w:rsid w:val="00505C4C"/>
    <w:rsid w:val="00506173"/>
    <w:rsid w:val="00511EA2"/>
    <w:rsid w:val="00516E7B"/>
    <w:rsid w:val="00523403"/>
    <w:rsid w:val="00533B65"/>
    <w:rsid w:val="00534DFF"/>
    <w:rsid w:val="00536AED"/>
    <w:rsid w:val="00536D55"/>
    <w:rsid w:val="00541980"/>
    <w:rsid w:val="0054335F"/>
    <w:rsid w:val="0054364F"/>
    <w:rsid w:val="00544620"/>
    <w:rsid w:val="00545E96"/>
    <w:rsid w:val="005475AB"/>
    <w:rsid w:val="00547E41"/>
    <w:rsid w:val="00551A4B"/>
    <w:rsid w:val="005520BE"/>
    <w:rsid w:val="005523E7"/>
    <w:rsid w:val="00552611"/>
    <w:rsid w:val="00552A13"/>
    <w:rsid w:val="00554C75"/>
    <w:rsid w:val="00556CF2"/>
    <w:rsid w:val="0055774C"/>
    <w:rsid w:val="00560443"/>
    <w:rsid w:val="0056094C"/>
    <w:rsid w:val="00560E73"/>
    <w:rsid w:val="00561DB2"/>
    <w:rsid w:val="00564AEE"/>
    <w:rsid w:val="00567814"/>
    <w:rsid w:val="00573F62"/>
    <w:rsid w:val="005757DB"/>
    <w:rsid w:val="00575B99"/>
    <w:rsid w:val="005769CF"/>
    <w:rsid w:val="00576E43"/>
    <w:rsid w:val="00577BF5"/>
    <w:rsid w:val="00581A40"/>
    <w:rsid w:val="00583853"/>
    <w:rsid w:val="0058665E"/>
    <w:rsid w:val="00587D82"/>
    <w:rsid w:val="00592DBE"/>
    <w:rsid w:val="005939CC"/>
    <w:rsid w:val="00593BFB"/>
    <w:rsid w:val="00595A3D"/>
    <w:rsid w:val="00597E9A"/>
    <w:rsid w:val="005A1E01"/>
    <w:rsid w:val="005A1F5D"/>
    <w:rsid w:val="005A32B9"/>
    <w:rsid w:val="005A496B"/>
    <w:rsid w:val="005A4E0C"/>
    <w:rsid w:val="005A6E4E"/>
    <w:rsid w:val="005B05E5"/>
    <w:rsid w:val="005B46C8"/>
    <w:rsid w:val="005C00F0"/>
    <w:rsid w:val="005C07C8"/>
    <w:rsid w:val="005C0EA0"/>
    <w:rsid w:val="005C0F75"/>
    <w:rsid w:val="005C32C7"/>
    <w:rsid w:val="005C7BFC"/>
    <w:rsid w:val="005D0A39"/>
    <w:rsid w:val="005D2ADF"/>
    <w:rsid w:val="005D470D"/>
    <w:rsid w:val="005D4E10"/>
    <w:rsid w:val="005D6DD8"/>
    <w:rsid w:val="005D7D58"/>
    <w:rsid w:val="005E08CF"/>
    <w:rsid w:val="005E1A28"/>
    <w:rsid w:val="005E2D3B"/>
    <w:rsid w:val="005E2EC0"/>
    <w:rsid w:val="005E576B"/>
    <w:rsid w:val="005F0A21"/>
    <w:rsid w:val="005F217D"/>
    <w:rsid w:val="005F22EC"/>
    <w:rsid w:val="005F27E5"/>
    <w:rsid w:val="005F3FFE"/>
    <w:rsid w:val="005F425E"/>
    <w:rsid w:val="005F4720"/>
    <w:rsid w:val="005F5044"/>
    <w:rsid w:val="005F74D4"/>
    <w:rsid w:val="00600155"/>
    <w:rsid w:val="00602337"/>
    <w:rsid w:val="00603EAE"/>
    <w:rsid w:val="0060400F"/>
    <w:rsid w:val="0060482D"/>
    <w:rsid w:val="00605237"/>
    <w:rsid w:val="00605350"/>
    <w:rsid w:val="00605E6C"/>
    <w:rsid w:val="0060609D"/>
    <w:rsid w:val="0060633D"/>
    <w:rsid w:val="0060634A"/>
    <w:rsid w:val="006072DF"/>
    <w:rsid w:val="00610BF7"/>
    <w:rsid w:val="006116D8"/>
    <w:rsid w:val="00611D99"/>
    <w:rsid w:val="006129B1"/>
    <w:rsid w:val="00615DD2"/>
    <w:rsid w:val="00617D2F"/>
    <w:rsid w:val="006242C7"/>
    <w:rsid w:val="006259B0"/>
    <w:rsid w:val="006259EF"/>
    <w:rsid w:val="00626A0B"/>
    <w:rsid w:val="006272AC"/>
    <w:rsid w:val="00631DB0"/>
    <w:rsid w:val="00634D81"/>
    <w:rsid w:val="0063532E"/>
    <w:rsid w:val="006376D8"/>
    <w:rsid w:val="00637AB8"/>
    <w:rsid w:val="006445F7"/>
    <w:rsid w:val="006450A8"/>
    <w:rsid w:val="006457B3"/>
    <w:rsid w:val="006469E0"/>
    <w:rsid w:val="0065404F"/>
    <w:rsid w:val="006611E7"/>
    <w:rsid w:val="006639F5"/>
    <w:rsid w:val="00663B51"/>
    <w:rsid w:val="0066466A"/>
    <w:rsid w:val="00666CCB"/>
    <w:rsid w:val="006674FF"/>
    <w:rsid w:val="00667CD3"/>
    <w:rsid w:val="00667E24"/>
    <w:rsid w:val="00673714"/>
    <w:rsid w:val="006763BF"/>
    <w:rsid w:val="00676860"/>
    <w:rsid w:val="00677F4D"/>
    <w:rsid w:val="00680679"/>
    <w:rsid w:val="00681FAD"/>
    <w:rsid w:val="00683ED8"/>
    <w:rsid w:val="006840E1"/>
    <w:rsid w:val="006846C0"/>
    <w:rsid w:val="00684882"/>
    <w:rsid w:val="00687764"/>
    <w:rsid w:val="00690A79"/>
    <w:rsid w:val="00692238"/>
    <w:rsid w:val="00693E06"/>
    <w:rsid w:val="00694C66"/>
    <w:rsid w:val="00694D2F"/>
    <w:rsid w:val="00694D51"/>
    <w:rsid w:val="00695A5C"/>
    <w:rsid w:val="006A08B1"/>
    <w:rsid w:val="006A0947"/>
    <w:rsid w:val="006A0A79"/>
    <w:rsid w:val="006A1B0C"/>
    <w:rsid w:val="006A525B"/>
    <w:rsid w:val="006A548B"/>
    <w:rsid w:val="006A6523"/>
    <w:rsid w:val="006A6B56"/>
    <w:rsid w:val="006B0126"/>
    <w:rsid w:val="006B0B90"/>
    <w:rsid w:val="006B1200"/>
    <w:rsid w:val="006B23B6"/>
    <w:rsid w:val="006B4CDF"/>
    <w:rsid w:val="006B5835"/>
    <w:rsid w:val="006B775B"/>
    <w:rsid w:val="006C0571"/>
    <w:rsid w:val="006C1479"/>
    <w:rsid w:val="006C262A"/>
    <w:rsid w:val="006C2DFF"/>
    <w:rsid w:val="006C4067"/>
    <w:rsid w:val="006C6039"/>
    <w:rsid w:val="006C667F"/>
    <w:rsid w:val="006C7BAE"/>
    <w:rsid w:val="006D0940"/>
    <w:rsid w:val="006D1795"/>
    <w:rsid w:val="006D1E8B"/>
    <w:rsid w:val="006D2CB6"/>
    <w:rsid w:val="006D360B"/>
    <w:rsid w:val="006D6221"/>
    <w:rsid w:val="006D6440"/>
    <w:rsid w:val="006E21E8"/>
    <w:rsid w:val="006E2BB8"/>
    <w:rsid w:val="006E2FCA"/>
    <w:rsid w:val="006E35BF"/>
    <w:rsid w:val="006E4F87"/>
    <w:rsid w:val="006E5BF7"/>
    <w:rsid w:val="006E5FA7"/>
    <w:rsid w:val="006E6AD9"/>
    <w:rsid w:val="006E7CE0"/>
    <w:rsid w:val="006F105F"/>
    <w:rsid w:val="006F1F1E"/>
    <w:rsid w:val="006F45CE"/>
    <w:rsid w:val="006F49C8"/>
    <w:rsid w:val="006F675A"/>
    <w:rsid w:val="00705591"/>
    <w:rsid w:val="00705EF1"/>
    <w:rsid w:val="007130DE"/>
    <w:rsid w:val="00714BD9"/>
    <w:rsid w:val="007155C7"/>
    <w:rsid w:val="00717161"/>
    <w:rsid w:val="00720366"/>
    <w:rsid w:val="007205E4"/>
    <w:rsid w:val="00720F37"/>
    <w:rsid w:val="00723842"/>
    <w:rsid w:val="00723C6C"/>
    <w:rsid w:val="007242C1"/>
    <w:rsid w:val="00725401"/>
    <w:rsid w:val="00725C78"/>
    <w:rsid w:val="007277D6"/>
    <w:rsid w:val="007319B0"/>
    <w:rsid w:val="0073384A"/>
    <w:rsid w:val="00733B6D"/>
    <w:rsid w:val="007348B1"/>
    <w:rsid w:val="007401F9"/>
    <w:rsid w:val="0074074F"/>
    <w:rsid w:val="007418C1"/>
    <w:rsid w:val="00741F24"/>
    <w:rsid w:val="00742449"/>
    <w:rsid w:val="00743918"/>
    <w:rsid w:val="007450BD"/>
    <w:rsid w:val="00747F8D"/>
    <w:rsid w:val="007501F7"/>
    <w:rsid w:val="00750A2F"/>
    <w:rsid w:val="007524AE"/>
    <w:rsid w:val="007537CE"/>
    <w:rsid w:val="00753F64"/>
    <w:rsid w:val="007547B3"/>
    <w:rsid w:val="00754FEC"/>
    <w:rsid w:val="00755F07"/>
    <w:rsid w:val="007608DB"/>
    <w:rsid w:val="00761101"/>
    <w:rsid w:val="00761D20"/>
    <w:rsid w:val="00762300"/>
    <w:rsid w:val="007638F1"/>
    <w:rsid w:val="0076562E"/>
    <w:rsid w:val="00766841"/>
    <w:rsid w:val="007668A1"/>
    <w:rsid w:val="00767903"/>
    <w:rsid w:val="00767B8E"/>
    <w:rsid w:val="00767E13"/>
    <w:rsid w:val="00771826"/>
    <w:rsid w:val="007723C0"/>
    <w:rsid w:val="0077280F"/>
    <w:rsid w:val="007729B2"/>
    <w:rsid w:val="00774469"/>
    <w:rsid w:val="0077496B"/>
    <w:rsid w:val="00775A5E"/>
    <w:rsid w:val="00776FB8"/>
    <w:rsid w:val="00777BEF"/>
    <w:rsid w:val="00780686"/>
    <w:rsid w:val="007810EB"/>
    <w:rsid w:val="0078171A"/>
    <w:rsid w:val="0078188A"/>
    <w:rsid w:val="00781C80"/>
    <w:rsid w:val="007834D1"/>
    <w:rsid w:val="00785DD3"/>
    <w:rsid w:val="00790462"/>
    <w:rsid w:val="00790DF6"/>
    <w:rsid w:val="00790F67"/>
    <w:rsid w:val="007915E8"/>
    <w:rsid w:val="007932A1"/>
    <w:rsid w:val="00793CD6"/>
    <w:rsid w:val="0079439A"/>
    <w:rsid w:val="007946E1"/>
    <w:rsid w:val="00794D56"/>
    <w:rsid w:val="007973E4"/>
    <w:rsid w:val="007A01C3"/>
    <w:rsid w:val="007A182D"/>
    <w:rsid w:val="007A236A"/>
    <w:rsid w:val="007A4BAA"/>
    <w:rsid w:val="007A5D27"/>
    <w:rsid w:val="007B14D4"/>
    <w:rsid w:val="007B22FB"/>
    <w:rsid w:val="007B24D6"/>
    <w:rsid w:val="007B3322"/>
    <w:rsid w:val="007B3810"/>
    <w:rsid w:val="007B3CB8"/>
    <w:rsid w:val="007B61BD"/>
    <w:rsid w:val="007B6BAC"/>
    <w:rsid w:val="007B78C4"/>
    <w:rsid w:val="007B7D80"/>
    <w:rsid w:val="007C28BB"/>
    <w:rsid w:val="007C31CE"/>
    <w:rsid w:val="007C68DB"/>
    <w:rsid w:val="007C6B84"/>
    <w:rsid w:val="007C7C30"/>
    <w:rsid w:val="007D05E7"/>
    <w:rsid w:val="007D17E9"/>
    <w:rsid w:val="007D1A9B"/>
    <w:rsid w:val="007D27C0"/>
    <w:rsid w:val="007D2F1C"/>
    <w:rsid w:val="007D309B"/>
    <w:rsid w:val="007D33EC"/>
    <w:rsid w:val="007D39E2"/>
    <w:rsid w:val="007D4D2B"/>
    <w:rsid w:val="007D5236"/>
    <w:rsid w:val="007D61CC"/>
    <w:rsid w:val="007D7C16"/>
    <w:rsid w:val="007E01EB"/>
    <w:rsid w:val="007E0F3C"/>
    <w:rsid w:val="007E10A6"/>
    <w:rsid w:val="007E3425"/>
    <w:rsid w:val="007E4B8A"/>
    <w:rsid w:val="007E504D"/>
    <w:rsid w:val="007E604F"/>
    <w:rsid w:val="007E6CA0"/>
    <w:rsid w:val="007F02E0"/>
    <w:rsid w:val="007F1ADA"/>
    <w:rsid w:val="007F2C2C"/>
    <w:rsid w:val="007F6195"/>
    <w:rsid w:val="007F66C7"/>
    <w:rsid w:val="007F7D84"/>
    <w:rsid w:val="0080004E"/>
    <w:rsid w:val="008023DD"/>
    <w:rsid w:val="00804F0A"/>
    <w:rsid w:val="00810147"/>
    <w:rsid w:val="00812D11"/>
    <w:rsid w:val="00816680"/>
    <w:rsid w:val="00817784"/>
    <w:rsid w:val="00817FC6"/>
    <w:rsid w:val="00822393"/>
    <w:rsid w:val="008223FB"/>
    <w:rsid w:val="0082320E"/>
    <w:rsid w:val="008256AD"/>
    <w:rsid w:val="008305D8"/>
    <w:rsid w:val="00830D79"/>
    <w:rsid w:val="00831B8A"/>
    <w:rsid w:val="00835D36"/>
    <w:rsid w:val="00836200"/>
    <w:rsid w:val="00836E7B"/>
    <w:rsid w:val="008370DD"/>
    <w:rsid w:val="0084043F"/>
    <w:rsid w:val="008425E6"/>
    <w:rsid w:val="0084501E"/>
    <w:rsid w:val="00850170"/>
    <w:rsid w:val="00850418"/>
    <w:rsid w:val="00850E11"/>
    <w:rsid w:val="008514E7"/>
    <w:rsid w:val="00851D11"/>
    <w:rsid w:val="008524D0"/>
    <w:rsid w:val="00852BC5"/>
    <w:rsid w:val="0085314A"/>
    <w:rsid w:val="00854557"/>
    <w:rsid w:val="008549D7"/>
    <w:rsid w:val="008555A9"/>
    <w:rsid w:val="00860860"/>
    <w:rsid w:val="00863C7D"/>
    <w:rsid w:val="00863FFB"/>
    <w:rsid w:val="00864CD7"/>
    <w:rsid w:val="00864FC7"/>
    <w:rsid w:val="008666FA"/>
    <w:rsid w:val="00866D1B"/>
    <w:rsid w:val="00871239"/>
    <w:rsid w:val="0087193E"/>
    <w:rsid w:val="00872251"/>
    <w:rsid w:val="00876DEC"/>
    <w:rsid w:val="00880048"/>
    <w:rsid w:val="00884583"/>
    <w:rsid w:val="00886F65"/>
    <w:rsid w:val="0088702C"/>
    <w:rsid w:val="008871AB"/>
    <w:rsid w:val="00887580"/>
    <w:rsid w:val="0089453A"/>
    <w:rsid w:val="00895A58"/>
    <w:rsid w:val="008960FE"/>
    <w:rsid w:val="008A3A8C"/>
    <w:rsid w:val="008B11DC"/>
    <w:rsid w:val="008B3ABF"/>
    <w:rsid w:val="008B3EB3"/>
    <w:rsid w:val="008C100A"/>
    <w:rsid w:val="008C3AAE"/>
    <w:rsid w:val="008C6101"/>
    <w:rsid w:val="008C6B20"/>
    <w:rsid w:val="008D1246"/>
    <w:rsid w:val="008D20CE"/>
    <w:rsid w:val="008D465B"/>
    <w:rsid w:val="008D4BD9"/>
    <w:rsid w:val="008D506B"/>
    <w:rsid w:val="008D50FB"/>
    <w:rsid w:val="008D67A9"/>
    <w:rsid w:val="008D721E"/>
    <w:rsid w:val="008E0650"/>
    <w:rsid w:val="008E0E4B"/>
    <w:rsid w:val="008E201E"/>
    <w:rsid w:val="008E2CBE"/>
    <w:rsid w:val="008F0665"/>
    <w:rsid w:val="008F08F1"/>
    <w:rsid w:val="008F0FAF"/>
    <w:rsid w:val="008F395D"/>
    <w:rsid w:val="008F3C44"/>
    <w:rsid w:val="008F5AF5"/>
    <w:rsid w:val="008F683C"/>
    <w:rsid w:val="008F68B0"/>
    <w:rsid w:val="00900CB1"/>
    <w:rsid w:val="00902EE8"/>
    <w:rsid w:val="009042EC"/>
    <w:rsid w:val="009065FC"/>
    <w:rsid w:val="00906755"/>
    <w:rsid w:val="00906AB8"/>
    <w:rsid w:val="00906EE6"/>
    <w:rsid w:val="0090711D"/>
    <w:rsid w:val="0090737E"/>
    <w:rsid w:val="00912F4F"/>
    <w:rsid w:val="00913E4A"/>
    <w:rsid w:val="00915C45"/>
    <w:rsid w:val="0092057B"/>
    <w:rsid w:val="009206E8"/>
    <w:rsid w:val="00922580"/>
    <w:rsid w:val="00923AAA"/>
    <w:rsid w:val="00923F44"/>
    <w:rsid w:val="00925F85"/>
    <w:rsid w:val="009263D9"/>
    <w:rsid w:val="0092668C"/>
    <w:rsid w:val="0093381D"/>
    <w:rsid w:val="00934FF4"/>
    <w:rsid w:val="00935B58"/>
    <w:rsid w:val="00935C6A"/>
    <w:rsid w:val="0093769B"/>
    <w:rsid w:val="0094181C"/>
    <w:rsid w:val="00941A76"/>
    <w:rsid w:val="00941C5C"/>
    <w:rsid w:val="0094289C"/>
    <w:rsid w:val="00950306"/>
    <w:rsid w:val="00951054"/>
    <w:rsid w:val="00951607"/>
    <w:rsid w:val="00952F18"/>
    <w:rsid w:val="0095462D"/>
    <w:rsid w:val="00954F56"/>
    <w:rsid w:val="0096117E"/>
    <w:rsid w:val="009618C9"/>
    <w:rsid w:val="00961F20"/>
    <w:rsid w:val="009634F6"/>
    <w:rsid w:val="00963598"/>
    <w:rsid w:val="0096365C"/>
    <w:rsid w:val="00963E4C"/>
    <w:rsid w:val="00964481"/>
    <w:rsid w:val="00964D2F"/>
    <w:rsid w:val="00965DB5"/>
    <w:rsid w:val="0096659A"/>
    <w:rsid w:val="00971C9A"/>
    <w:rsid w:val="009742D3"/>
    <w:rsid w:val="009777DE"/>
    <w:rsid w:val="0098086C"/>
    <w:rsid w:val="009822F9"/>
    <w:rsid w:val="00982583"/>
    <w:rsid w:val="009830E0"/>
    <w:rsid w:val="009850AC"/>
    <w:rsid w:val="0098525D"/>
    <w:rsid w:val="00986AF7"/>
    <w:rsid w:val="0098717E"/>
    <w:rsid w:val="00987475"/>
    <w:rsid w:val="00991038"/>
    <w:rsid w:val="009918C0"/>
    <w:rsid w:val="009954D2"/>
    <w:rsid w:val="00996F87"/>
    <w:rsid w:val="009A098F"/>
    <w:rsid w:val="009A160E"/>
    <w:rsid w:val="009A4279"/>
    <w:rsid w:val="009A46E8"/>
    <w:rsid w:val="009A59CE"/>
    <w:rsid w:val="009B03E6"/>
    <w:rsid w:val="009B048F"/>
    <w:rsid w:val="009B0E27"/>
    <w:rsid w:val="009B1007"/>
    <w:rsid w:val="009B1290"/>
    <w:rsid w:val="009B378A"/>
    <w:rsid w:val="009B497F"/>
    <w:rsid w:val="009B66BD"/>
    <w:rsid w:val="009B67AE"/>
    <w:rsid w:val="009B6945"/>
    <w:rsid w:val="009C006B"/>
    <w:rsid w:val="009C0117"/>
    <w:rsid w:val="009C0B69"/>
    <w:rsid w:val="009C273E"/>
    <w:rsid w:val="009C2ACD"/>
    <w:rsid w:val="009C2F1D"/>
    <w:rsid w:val="009C5065"/>
    <w:rsid w:val="009C5BB3"/>
    <w:rsid w:val="009C60DD"/>
    <w:rsid w:val="009C7E2E"/>
    <w:rsid w:val="009D0C89"/>
    <w:rsid w:val="009D2DD2"/>
    <w:rsid w:val="009D4270"/>
    <w:rsid w:val="009D6B41"/>
    <w:rsid w:val="009E0188"/>
    <w:rsid w:val="009E15A6"/>
    <w:rsid w:val="009E4CD1"/>
    <w:rsid w:val="009E64CB"/>
    <w:rsid w:val="009E6958"/>
    <w:rsid w:val="009E71DE"/>
    <w:rsid w:val="009F0719"/>
    <w:rsid w:val="009F092C"/>
    <w:rsid w:val="009F0CC8"/>
    <w:rsid w:val="009F1166"/>
    <w:rsid w:val="009F12CB"/>
    <w:rsid w:val="009F2764"/>
    <w:rsid w:val="009F356B"/>
    <w:rsid w:val="009F6B84"/>
    <w:rsid w:val="009F7448"/>
    <w:rsid w:val="009F7628"/>
    <w:rsid w:val="009F7CDF"/>
    <w:rsid w:val="00A00690"/>
    <w:rsid w:val="00A0226E"/>
    <w:rsid w:val="00A0260E"/>
    <w:rsid w:val="00A03E5D"/>
    <w:rsid w:val="00A040ED"/>
    <w:rsid w:val="00A1004D"/>
    <w:rsid w:val="00A10828"/>
    <w:rsid w:val="00A10969"/>
    <w:rsid w:val="00A115FB"/>
    <w:rsid w:val="00A11F36"/>
    <w:rsid w:val="00A169FF"/>
    <w:rsid w:val="00A17A13"/>
    <w:rsid w:val="00A17C5D"/>
    <w:rsid w:val="00A222F7"/>
    <w:rsid w:val="00A2274B"/>
    <w:rsid w:val="00A22F96"/>
    <w:rsid w:val="00A232A0"/>
    <w:rsid w:val="00A247FB"/>
    <w:rsid w:val="00A27C2B"/>
    <w:rsid w:val="00A30DEA"/>
    <w:rsid w:val="00A32EEE"/>
    <w:rsid w:val="00A3385E"/>
    <w:rsid w:val="00A34DDA"/>
    <w:rsid w:val="00A3530D"/>
    <w:rsid w:val="00A35410"/>
    <w:rsid w:val="00A36D4D"/>
    <w:rsid w:val="00A37202"/>
    <w:rsid w:val="00A3748D"/>
    <w:rsid w:val="00A37D71"/>
    <w:rsid w:val="00A4075B"/>
    <w:rsid w:val="00A42D85"/>
    <w:rsid w:val="00A45B5B"/>
    <w:rsid w:val="00A461A7"/>
    <w:rsid w:val="00A50D77"/>
    <w:rsid w:val="00A516B6"/>
    <w:rsid w:val="00A53D52"/>
    <w:rsid w:val="00A53E09"/>
    <w:rsid w:val="00A54F98"/>
    <w:rsid w:val="00A55006"/>
    <w:rsid w:val="00A553B1"/>
    <w:rsid w:val="00A55DAB"/>
    <w:rsid w:val="00A603F9"/>
    <w:rsid w:val="00A60719"/>
    <w:rsid w:val="00A61CAD"/>
    <w:rsid w:val="00A63AC6"/>
    <w:rsid w:val="00A63B38"/>
    <w:rsid w:val="00A6539A"/>
    <w:rsid w:val="00A66E13"/>
    <w:rsid w:val="00A7119E"/>
    <w:rsid w:val="00A719A8"/>
    <w:rsid w:val="00A71E8D"/>
    <w:rsid w:val="00A72F3C"/>
    <w:rsid w:val="00A73ADB"/>
    <w:rsid w:val="00A75FE8"/>
    <w:rsid w:val="00A769F4"/>
    <w:rsid w:val="00A80B11"/>
    <w:rsid w:val="00A82AB2"/>
    <w:rsid w:val="00A843B6"/>
    <w:rsid w:val="00A852A5"/>
    <w:rsid w:val="00A8664D"/>
    <w:rsid w:val="00A87035"/>
    <w:rsid w:val="00A8726E"/>
    <w:rsid w:val="00A901AE"/>
    <w:rsid w:val="00A90B4C"/>
    <w:rsid w:val="00A91787"/>
    <w:rsid w:val="00A91F13"/>
    <w:rsid w:val="00A926B5"/>
    <w:rsid w:val="00A927A2"/>
    <w:rsid w:val="00A9317D"/>
    <w:rsid w:val="00A946AE"/>
    <w:rsid w:val="00A9605C"/>
    <w:rsid w:val="00AA281A"/>
    <w:rsid w:val="00AA38EE"/>
    <w:rsid w:val="00AA444F"/>
    <w:rsid w:val="00AA53B9"/>
    <w:rsid w:val="00AA5996"/>
    <w:rsid w:val="00AA6C69"/>
    <w:rsid w:val="00AB49EF"/>
    <w:rsid w:val="00AB50EC"/>
    <w:rsid w:val="00AB59D0"/>
    <w:rsid w:val="00AB6048"/>
    <w:rsid w:val="00AB7A37"/>
    <w:rsid w:val="00AB7E44"/>
    <w:rsid w:val="00AC03D0"/>
    <w:rsid w:val="00AC22C8"/>
    <w:rsid w:val="00AC3E61"/>
    <w:rsid w:val="00AC4090"/>
    <w:rsid w:val="00AC4CF6"/>
    <w:rsid w:val="00AC65D8"/>
    <w:rsid w:val="00AD1461"/>
    <w:rsid w:val="00AD15A1"/>
    <w:rsid w:val="00AD1CEF"/>
    <w:rsid w:val="00AD30FF"/>
    <w:rsid w:val="00AD33ED"/>
    <w:rsid w:val="00AD5FA3"/>
    <w:rsid w:val="00AD614C"/>
    <w:rsid w:val="00AD7158"/>
    <w:rsid w:val="00AD7B8A"/>
    <w:rsid w:val="00AE064A"/>
    <w:rsid w:val="00AE0B9D"/>
    <w:rsid w:val="00AE1089"/>
    <w:rsid w:val="00AE223D"/>
    <w:rsid w:val="00AE2542"/>
    <w:rsid w:val="00AE2DA1"/>
    <w:rsid w:val="00AE37B7"/>
    <w:rsid w:val="00AE3D1F"/>
    <w:rsid w:val="00AE3D4A"/>
    <w:rsid w:val="00AE4421"/>
    <w:rsid w:val="00AE4F05"/>
    <w:rsid w:val="00AE5ECB"/>
    <w:rsid w:val="00AE6C8B"/>
    <w:rsid w:val="00AF008F"/>
    <w:rsid w:val="00AF2D2C"/>
    <w:rsid w:val="00AF339D"/>
    <w:rsid w:val="00AF43E2"/>
    <w:rsid w:val="00AF5EAB"/>
    <w:rsid w:val="00AF651A"/>
    <w:rsid w:val="00AF6A04"/>
    <w:rsid w:val="00AF6F45"/>
    <w:rsid w:val="00AF7BC2"/>
    <w:rsid w:val="00AF7D97"/>
    <w:rsid w:val="00B00A00"/>
    <w:rsid w:val="00B01571"/>
    <w:rsid w:val="00B031F9"/>
    <w:rsid w:val="00B045E9"/>
    <w:rsid w:val="00B069E4"/>
    <w:rsid w:val="00B06C2B"/>
    <w:rsid w:val="00B06FF6"/>
    <w:rsid w:val="00B116BD"/>
    <w:rsid w:val="00B13C64"/>
    <w:rsid w:val="00B178AB"/>
    <w:rsid w:val="00B200C7"/>
    <w:rsid w:val="00B20CC5"/>
    <w:rsid w:val="00B22700"/>
    <w:rsid w:val="00B24B8A"/>
    <w:rsid w:val="00B26CFE"/>
    <w:rsid w:val="00B30833"/>
    <w:rsid w:val="00B33A35"/>
    <w:rsid w:val="00B35F4B"/>
    <w:rsid w:val="00B41229"/>
    <w:rsid w:val="00B42D80"/>
    <w:rsid w:val="00B42F72"/>
    <w:rsid w:val="00B4400F"/>
    <w:rsid w:val="00B45868"/>
    <w:rsid w:val="00B50AF8"/>
    <w:rsid w:val="00B51D77"/>
    <w:rsid w:val="00B53478"/>
    <w:rsid w:val="00B54302"/>
    <w:rsid w:val="00B55196"/>
    <w:rsid w:val="00B55DBB"/>
    <w:rsid w:val="00B56B20"/>
    <w:rsid w:val="00B5712A"/>
    <w:rsid w:val="00B600F5"/>
    <w:rsid w:val="00B6033C"/>
    <w:rsid w:val="00B63BCD"/>
    <w:rsid w:val="00B731EF"/>
    <w:rsid w:val="00B753A8"/>
    <w:rsid w:val="00B75473"/>
    <w:rsid w:val="00B756A0"/>
    <w:rsid w:val="00B77724"/>
    <w:rsid w:val="00B81445"/>
    <w:rsid w:val="00B81712"/>
    <w:rsid w:val="00B81FE0"/>
    <w:rsid w:val="00B8488C"/>
    <w:rsid w:val="00B8751C"/>
    <w:rsid w:val="00B90012"/>
    <w:rsid w:val="00B9350E"/>
    <w:rsid w:val="00B9435C"/>
    <w:rsid w:val="00B959C8"/>
    <w:rsid w:val="00B9613D"/>
    <w:rsid w:val="00B96AA2"/>
    <w:rsid w:val="00BA013F"/>
    <w:rsid w:val="00BA1F2A"/>
    <w:rsid w:val="00BA4AE6"/>
    <w:rsid w:val="00BB1B66"/>
    <w:rsid w:val="00BB2C9A"/>
    <w:rsid w:val="00BB3414"/>
    <w:rsid w:val="00BB5003"/>
    <w:rsid w:val="00BB51BE"/>
    <w:rsid w:val="00BC0CD2"/>
    <w:rsid w:val="00BC1569"/>
    <w:rsid w:val="00BC1573"/>
    <w:rsid w:val="00BC1918"/>
    <w:rsid w:val="00BC278F"/>
    <w:rsid w:val="00BC293D"/>
    <w:rsid w:val="00BC376B"/>
    <w:rsid w:val="00BC4651"/>
    <w:rsid w:val="00BC5834"/>
    <w:rsid w:val="00BC684E"/>
    <w:rsid w:val="00BC6C16"/>
    <w:rsid w:val="00BD1D1A"/>
    <w:rsid w:val="00BD554B"/>
    <w:rsid w:val="00BD55E9"/>
    <w:rsid w:val="00BD60F7"/>
    <w:rsid w:val="00BD6145"/>
    <w:rsid w:val="00BD73B8"/>
    <w:rsid w:val="00BD7C6E"/>
    <w:rsid w:val="00BD7D61"/>
    <w:rsid w:val="00BE0BA8"/>
    <w:rsid w:val="00BE0EA1"/>
    <w:rsid w:val="00BE1590"/>
    <w:rsid w:val="00BE204C"/>
    <w:rsid w:val="00BE209F"/>
    <w:rsid w:val="00BE23F9"/>
    <w:rsid w:val="00BE30F3"/>
    <w:rsid w:val="00BE53AF"/>
    <w:rsid w:val="00BE69D8"/>
    <w:rsid w:val="00BE718F"/>
    <w:rsid w:val="00BE71F9"/>
    <w:rsid w:val="00BF40C2"/>
    <w:rsid w:val="00BF49FE"/>
    <w:rsid w:val="00BF4B0F"/>
    <w:rsid w:val="00BF5B69"/>
    <w:rsid w:val="00BF7733"/>
    <w:rsid w:val="00C01D86"/>
    <w:rsid w:val="00C022E2"/>
    <w:rsid w:val="00C049A2"/>
    <w:rsid w:val="00C05CBE"/>
    <w:rsid w:val="00C0641C"/>
    <w:rsid w:val="00C07896"/>
    <w:rsid w:val="00C10B2A"/>
    <w:rsid w:val="00C113D5"/>
    <w:rsid w:val="00C12436"/>
    <w:rsid w:val="00C127A5"/>
    <w:rsid w:val="00C12B2C"/>
    <w:rsid w:val="00C139D7"/>
    <w:rsid w:val="00C13E95"/>
    <w:rsid w:val="00C13EE3"/>
    <w:rsid w:val="00C15994"/>
    <w:rsid w:val="00C15CCD"/>
    <w:rsid w:val="00C1691A"/>
    <w:rsid w:val="00C17386"/>
    <w:rsid w:val="00C17FDD"/>
    <w:rsid w:val="00C2157E"/>
    <w:rsid w:val="00C2283D"/>
    <w:rsid w:val="00C23AAE"/>
    <w:rsid w:val="00C2451C"/>
    <w:rsid w:val="00C2550B"/>
    <w:rsid w:val="00C26D63"/>
    <w:rsid w:val="00C26FAA"/>
    <w:rsid w:val="00C27274"/>
    <w:rsid w:val="00C27D76"/>
    <w:rsid w:val="00C313CF"/>
    <w:rsid w:val="00C31B96"/>
    <w:rsid w:val="00C348D0"/>
    <w:rsid w:val="00C34E2C"/>
    <w:rsid w:val="00C35476"/>
    <w:rsid w:val="00C35DCA"/>
    <w:rsid w:val="00C36E4F"/>
    <w:rsid w:val="00C37BB5"/>
    <w:rsid w:val="00C42D87"/>
    <w:rsid w:val="00C4392E"/>
    <w:rsid w:val="00C43B4C"/>
    <w:rsid w:val="00C43BAE"/>
    <w:rsid w:val="00C43E75"/>
    <w:rsid w:val="00C44851"/>
    <w:rsid w:val="00C45DF3"/>
    <w:rsid w:val="00C474AA"/>
    <w:rsid w:val="00C47946"/>
    <w:rsid w:val="00C47CF4"/>
    <w:rsid w:val="00C47EB3"/>
    <w:rsid w:val="00C50E39"/>
    <w:rsid w:val="00C52D57"/>
    <w:rsid w:val="00C53989"/>
    <w:rsid w:val="00C539AE"/>
    <w:rsid w:val="00C60250"/>
    <w:rsid w:val="00C60C20"/>
    <w:rsid w:val="00C615BC"/>
    <w:rsid w:val="00C628A6"/>
    <w:rsid w:val="00C64CA0"/>
    <w:rsid w:val="00C64D9B"/>
    <w:rsid w:val="00C65B9F"/>
    <w:rsid w:val="00C67B3B"/>
    <w:rsid w:val="00C67BC2"/>
    <w:rsid w:val="00C702F8"/>
    <w:rsid w:val="00C70FA9"/>
    <w:rsid w:val="00C726BD"/>
    <w:rsid w:val="00C744F4"/>
    <w:rsid w:val="00C749FA"/>
    <w:rsid w:val="00C74C51"/>
    <w:rsid w:val="00C75699"/>
    <w:rsid w:val="00C75F3A"/>
    <w:rsid w:val="00C823D2"/>
    <w:rsid w:val="00C846FA"/>
    <w:rsid w:val="00C87D35"/>
    <w:rsid w:val="00C91648"/>
    <w:rsid w:val="00C919F0"/>
    <w:rsid w:val="00C91B85"/>
    <w:rsid w:val="00C91CC2"/>
    <w:rsid w:val="00C94040"/>
    <w:rsid w:val="00C94587"/>
    <w:rsid w:val="00C97A6C"/>
    <w:rsid w:val="00C97F3A"/>
    <w:rsid w:val="00CA0B89"/>
    <w:rsid w:val="00CA1E25"/>
    <w:rsid w:val="00CA254A"/>
    <w:rsid w:val="00CA3FC5"/>
    <w:rsid w:val="00CA4A9C"/>
    <w:rsid w:val="00CA5750"/>
    <w:rsid w:val="00CA6AD8"/>
    <w:rsid w:val="00CB105A"/>
    <w:rsid w:val="00CB52D0"/>
    <w:rsid w:val="00CB533C"/>
    <w:rsid w:val="00CB6676"/>
    <w:rsid w:val="00CC032B"/>
    <w:rsid w:val="00CC1659"/>
    <w:rsid w:val="00CC1B34"/>
    <w:rsid w:val="00CC2C94"/>
    <w:rsid w:val="00CC2F6F"/>
    <w:rsid w:val="00CC4D0F"/>
    <w:rsid w:val="00CC7A88"/>
    <w:rsid w:val="00CC7AB7"/>
    <w:rsid w:val="00CD0B05"/>
    <w:rsid w:val="00CD0B4C"/>
    <w:rsid w:val="00CD10FF"/>
    <w:rsid w:val="00CD19E2"/>
    <w:rsid w:val="00CD6746"/>
    <w:rsid w:val="00CE1B17"/>
    <w:rsid w:val="00CE5083"/>
    <w:rsid w:val="00CE6C7C"/>
    <w:rsid w:val="00CE7B0E"/>
    <w:rsid w:val="00CE7F63"/>
    <w:rsid w:val="00CF0D1A"/>
    <w:rsid w:val="00CF0F01"/>
    <w:rsid w:val="00CF1ACA"/>
    <w:rsid w:val="00CF1F8D"/>
    <w:rsid w:val="00CF3577"/>
    <w:rsid w:val="00CF60BD"/>
    <w:rsid w:val="00CF7FD5"/>
    <w:rsid w:val="00D00E18"/>
    <w:rsid w:val="00D00E6A"/>
    <w:rsid w:val="00D00EB9"/>
    <w:rsid w:val="00D01229"/>
    <w:rsid w:val="00D01C91"/>
    <w:rsid w:val="00D02A4A"/>
    <w:rsid w:val="00D02FC1"/>
    <w:rsid w:val="00D04D3F"/>
    <w:rsid w:val="00D05A0A"/>
    <w:rsid w:val="00D05F91"/>
    <w:rsid w:val="00D06392"/>
    <w:rsid w:val="00D077DC"/>
    <w:rsid w:val="00D07D63"/>
    <w:rsid w:val="00D1009D"/>
    <w:rsid w:val="00D12492"/>
    <w:rsid w:val="00D13542"/>
    <w:rsid w:val="00D14471"/>
    <w:rsid w:val="00D15499"/>
    <w:rsid w:val="00D16D91"/>
    <w:rsid w:val="00D1715C"/>
    <w:rsid w:val="00D2070F"/>
    <w:rsid w:val="00D226EA"/>
    <w:rsid w:val="00D232F3"/>
    <w:rsid w:val="00D26A78"/>
    <w:rsid w:val="00D26ECF"/>
    <w:rsid w:val="00D3059B"/>
    <w:rsid w:val="00D3274E"/>
    <w:rsid w:val="00D334DB"/>
    <w:rsid w:val="00D37451"/>
    <w:rsid w:val="00D375FC"/>
    <w:rsid w:val="00D40245"/>
    <w:rsid w:val="00D42355"/>
    <w:rsid w:val="00D43426"/>
    <w:rsid w:val="00D43573"/>
    <w:rsid w:val="00D43F7B"/>
    <w:rsid w:val="00D46BE1"/>
    <w:rsid w:val="00D4727B"/>
    <w:rsid w:val="00D5328C"/>
    <w:rsid w:val="00D54483"/>
    <w:rsid w:val="00D54ECC"/>
    <w:rsid w:val="00D60636"/>
    <w:rsid w:val="00D62B88"/>
    <w:rsid w:val="00D63855"/>
    <w:rsid w:val="00D64E74"/>
    <w:rsid w:val="00D65A87"/>
    <w:rsid w:val="00D6625D"/>
    <w:rsid w:val="00D7108F"/>
    <w:rsid w:val="00D7181A"/>
    <w:rsid w:val="00D71E8D"/>
    <w:rsid w:val="00D72665"/>
    <w:rsid w:val="00D73296"/>
    <w:rsid w:val="00D76419"/>
    <w:rsid w:val="00D807CE"/>
    <w:rsid w:val="00D814E6"/>
    <w:rsid w:val="00D844AE"/>
    <w:rsid w:val="00D85871"/>
    <w:rsid w:val="00D8686A"/>
    <w:rsid w:val="00D8783A"/>
    <w:rsid w:val="00D87861"/>
    <w:rsid w:val="00D916A4"/>
    <w:rsid w:val="00D91DCB"/>
    <w:rsid w:val="00D9618F"/>
    <w:rsid w:val="00D963F8"/>
    <w:rsid w:val="00D96642"/>
    <w:rsid w:val="00D970B0"/>
    <w:rsid w:val="00DA040D"/>
    <w:rsid w:val="00DA1381"/>
    <w:rsid w:val="00DA1B39"/>
    <w:rsid w:val="00DA377A"/>
    <w:rsid w:val="00DA3C9C"/>
    <w:rsid w:val="00DA7B3B"/>
    <w:rsid w:val="00DA7EA7"/>
    <w:rsid w:val="00DB035F"/>
    <w:rsid w:val="00DB10AA"/>
    <w:rsid w:val="00DB30C3"/>
    <w:rsid w:val="00DB4033"/>
    <w:rsid w:val="00DB58C8"/>
    <w:rsid w:val="00DC0F5D"/>
    <w:rsid w:val="00DC31D4"/>
    <w:rsid w:val="00DC3919"/>
    <w:rsid w:val="00DC3B0F"/>
    <w:rsid w:val="00DC495E"/>
    <w:rsid w:val="00DC53C7"/>
    <w:rsid w:val="00DC6979"/>
    <w:rsid w:val="00DC79DA"/>
    <w:rsid w:val="00DD234A"/>
    <w:rsid w:val="00DD24F3"/>
    <w:rsid w:val="00DD403E"/>
    <w:rsid w:val="00DD55EA"/>
    <w:rsid w:val="00DD6ECF"/>
    <w:rsid w:val="00DD764C"/>
    <w:rsid w:val="00DD7AA6"/>
    <w:rsid w:val="00DE230A"/>
    <w:rsid w:val="00DE526F"/>
    <w:rsid w:val="00DF0311"/>
    <w:rsid w:val="00DF0D2A"/>
    <w:rsid w:val="00DF2BE6"/>
    <w:rsid w:val="00DF47D9"/>
    <w:rsid w:val="00DF4899"/>
    <w:rsid w:val="00DF4C30"/>
    <w:rsid w:val="00DF6671"/>
    <w:rsid w:val="00DF6BDD"/>
    <w:rsid w:val="00E0099C"/>
    <w:rsid w:val="00E018EA"/>
    <w:rsid w:val="00E02999"/>
    <w:rsid w:val="00E031A0"/>
    <w:rsid w:val="00E03591"/>
    <w:rsid w:val="00E043AB"/>
    <w:rsid w:val="00E0548D"/>
    <w:rsid w:val="00E05DA3"/>
    <w:rsid w:val="00E10E28"/>
    <w:rsid w:val="00E1289D"/>
    <w:rsid w:val="00E130EB"/>
    <w:rsid w:val="00E156A0"/>
    <w:rsid w:val="00E15857"/>
    <w:rsid w:val="00E1674C"/>
    <w:rsid w:val="00E1799B"/>
    <w:rsid w:val="00E22EB9"/>
    <w:rsid w:val="00E23290"/>
    <w:rsid w:val="00E23A3B"/>
    <w:rsid w:val="00E240DC"/>
    <w:rsid w:val="00E25688"/>
    <w:rsid w:val="00E25DB7"/>
    <w:rsid w:val="00E2631E"/>
    <w:rsid w:val="00E278C2"/>
    <w:rsid w:val="00E27BCA"/>
    <w:rsid w:val="00E3056E"/>
    <w:rsid w:val="00E30BC6"/>
    <w:rsid w:val="00E31C5D"/>
    <w:rsid w:val="00E32DC9"/>
    <w:rsid w:val="00E340F8"/>
    <w:rsid w:val="00E369BD"/>
    <w:rsid w:val="00E423B1"/>
    <w:rsid w:val="00E43027"/>
    <w:rsid w:val="00E452E5"/>
    <w:rsid w:val="00E4550E"/>
    <w:rsid w:val="00E45B95"/>
    <w:rsid w:val="00E466BF"/>
    <w:rsid w:val="00E46DBC"/>
    <w:rsid w:val="00E535AA"/>
    <w:rsid w:val="00E54245"/>
    <w:rsid w:val="00E550EF"/>
    <w:rsid w:val="00E55C2E"/>
    <w:rsid w:val="00E56467"/>
    <w:rsid w:val="00E57FD3"/>
    <w:rsid w:val="00E60522"/>
    <w:rsid w:val="00E63422"/>
    <w:rsid w:val="00E63A82"/>
    <w:rsid w:val="00E642E3"/>
    <w:rsid w:val="00E65F4A"/>
    <w:rsid w:val="00E71EE6"/>
    <w:rsid w:val="00E73830"/>
    <w:rsid w:val="00E73DE2"/>
    <w:rsid w:val="00E753DE"/>
    <w:rsid w:val="00E75AD7"/>
    <w:rsid w:val="00E772D1"/>
    <w:rsid w:val="00E8056C"/>
    <w:rsid w:val="00E81E99"/>
    <w:rsid w:val="00E8251C"/>
    <w:rsid w:val="00E832C4"/>
    <w:rsid w:val="00E83E95"/>
    <w:rsid w:val="00E850A1"/>
    <w:rsid w:val="00E85962"/>
    <w:rsid w:val="00E85C25"/>
    <w:rsid w:val="00E86043"/>
    <w:rsid w:val="00E86088"/>
    <w:rsid w:val="00E91BE1"/>
    <w:rsid w:val="00E93D96"/>
    <w:rsid w:val="00E94522"/>
    <w:rsid w:val="00E955A0"/>
    <w:rsid w:val="00E957C1"/>
    <w:rsid w:val="00E95E68"/>
    <w:rsid w:val="00E96551"/>
    <w:rsid w:val="00E97ED3"/>
    <w:rsid w:val="00EA0C0C"/>
    <w:rsid w:val="00EA1882"/>
    <w:rsid w:val="00EA2FD6"/>
    <w:rsid w:val="00EA3168"/>
    <w:rsid w:val="00EA5021"/>
    <w:rsid w:val="00EA52DA"/>
    <w:rsid w:val="00EA665F"/>
    <w:rsid w:val="00EA79CF"/>
    <w:rsid w:val="00EA7FE4"/>
    <w:rsid w:val="00EB272F"/>
    <w:rsid w:val="00EB2AE0"/>
    <w:rsid w:val="00EB3EFD"/>
    <w:rsid w:val="00EB5D62"/>
    <w:rsid w:val="00EB5E48"/>
    <w:rsid w:val="00EC054E"/>
    <w:rsid w:val="00EC071F"/>
    <w:rsid w:val="00EC22C0"/>
    <w:rsid w:val="00EC49F1"/>
    <w:rsid w:val="00EC531F"/>
    <w:rsid w:val="00EC54BF"/>
    <w:rsid w:val="00EC5BE6"/>
    <w:rsid w:val="00EC5C03"/>
    <w:rsid w:val="00EC5FB2"/>
    <w:rsid w:val="00EC7617"/>
    <w:rsid w:val="00EC7B22"/>
    <w:rsid w:val="00ED21F8"/>
    <w:rsid w:val="00ED33B1"/>
    <w:rsid w:val="00ED428C"/>
    <w:rsid w:val="00ED5551"/>
    <w:rsid w:val="00ED5FC5"/>
    <w:rsid w:val="00ED6E3B"/>
    <w:rsid w:val="00ED7727"/>
    <w:rsid w:val="00ED7AA6"/>
    <w:rsid w:val="00EE0444"/>
    <w:rsid w:val="00EE06EB"/>
    <w:rsid w:val="00EE0872"/>
    <w:rsid w:val="00EE1CA6"/>
    <w:rsid w:val="00EE214F"/>
    <w:rsid w:val="00EE3BC1"/>
    <w:rsid w:val="00EE3C0F"/>
    <w:rsid w:val="00EE5215"/>
    <w:rsid w:val="00EE5246"/>
    <w:rsid w:val="00EE546B"/>
    <w:rsid w:val="00EE63F9"/>
    <w:rsid w:val="00EF1FAC"/>
    <w:rsid w:val="00EF2848"/>
    <w:rsid w:val="00EF3341"/>
    <w:rsid w:val="00EF3FDE"/>
    <w:rsid w:val="00EF4EEE"/>
    <w:rsid w:val="00EF692A"/>
    <w:rsid w:val="00EF6DE0"/>
    <w:rsid w:val="00F0002A"/>
    <w:rsid w:val="00F00714"/>
    <w:rsid w:val="00F02553"/>
    <w:rsid w:val="00F02EF7"/>
    <w:rsid w:val="00F02F32"/>
    <w:rsid w:val="00F0325C"/>
    <w:rsid w:val="00F0374B"/>
    <w:rsid w:val="00F03B01"/>
    <w:rsid w:val="00F04613"/>
    <w:rsid w:val="00F10C93"/>
    <w:rsid w:val="00F10E73"/>
    <w:rsid w:val="00F10E8D"/>
    <w:rsid w:val="00F129B2"/>
    <w:rsid w:val="00F13E9E"/>
    <w:rsid w:val="00F14A99"/>
    <w:rsid w:val="00F15276"/>
    <w:rsid w:val="00F16BA1"/>
    <w:rsid w:val="00F17625"/>
    <w:rsid w:val="00F1784C"/>
    <w:rsid w:val="00F22253"/>
    <w:rsid w:val="00F22EF8"/>
    <w:rsid w:val="00F2381F"/>
    <w:rsid w:val="00F23826"/>
    <w:rsid w:val="00F23892"/>
    <w:rsid w:val="00F252DF"/>
    <w:rsid w:val="00F2643F"/>
    <w:rsid w:val="00F270E8"/>
    <w:rsid w:val="00F27B2C"/>
    <w:rsid w:val="00F31106"/>
    <w:rsid w:val="00F317DF"/>
    <w:rsid w:val="00F323B3"/>
    <w:rsid w:val="00F36A4B"/>
    <w:rsid w:val="00F3701C"/>
    <w:rsid w:val="00F37E6F"/>
    <w:rsid w:val="00F4039A"/>
    <w:rsid w:val="00F40A02"/>
    <w:rsid w:val="00F46035"/>
    <w:rsid w:val="00F50735"/>
    <w:rsid w:val="00F51510"/>
    <w:rsid w:val="00F537DE"/>
    <w:rsid w:val="00F54CE1"/>
    <w:rsid w:val="00F6151D"/>
    <w:rsid w:val="00F61FA6"/>
    <w:rsid w:val="00F66613"/>
    <w:rsid w:val="00F70879"/>
    <w:rsid w:val="00F7177C"/>
    <w:rsid w:val="00F7242D"/>
    <w:rsid w:val="00F8038A"/>
    <w:rsid w:val="00F80D70"/>
    <w:rsid w:val="00F82E90"/>
    <w:rsid w:val="00F83EA7"/>
    <w:rsid w:val="00F85C8A"/>
    <w:rsid w:val="00F90259"/>
    <w:rsid w:val="00F91642"/>
    <w:rsid w:val="00F92F3E"/>
    <w:rsid w:val="00FA2EB9"/>
    <w:rsid w:val="00FA607C"/>
    <w:rsid w:val="00FA6C01"/>
    <w:rsid w:val="00FB0651"/>
    <w:rsid w:val="00FB2170"/>
    <w:rsid w:val="00FB2F33"/>
    <w:rsid w:val="00FB467B"/>
    <w:rsid w:val="00FB70E6"/>
    <w:rsid w:val="00FB7B4C"/>
    <w:rsid w:val="00FB7E1D"/>
    <w:rsid w:val="00FC0B7A"/>
    <w:rsid w:val="00FC2009"/>
    <w:rsid w:val="00FC35E0"/>
    <w:rsid w:val="00FC56D7"/>
    <w:rsid w:val="00FC646F"/>
    <w:rsid w:val="00FC7CF8"/>
    <w:rsid w:val="00FD0321"/>
    <w:rsid w:val="00FD2EFA"/>
    <w:rsid w:val="00FD3900"/>
    <w:rsid w:val="00FD5922"/>
    <w:rsid w:val="00FD6725"/>
    <w:rsid w:val="00FD6B1F"/>
    <w:rsid w:val="00FD70FE"/>
    <w:rsid w:val="00FD7B2D"/>
    <w:rsid w:val="00FD7B4B"/>
    <w:rsid w:val="00FE1399"/>
    <w:rsid w:val="00FE3E25"/>
    <w:rsid w:val="00FE3FE4"/>
    <w:rsid w:val="00FE47B7"/>
    <w:rsid w:val="00FE6391"/>
    <w:rsid w:val="00FE72C3"/>
    <w:rsid w:val="00FE72CE"/>
    <w:rsid w:val="00FE7F05"/>
    <w:rsid w:val="00FF15ED"/>
    <w:rsid w:val="00FF18BE"/>
    <w:rsid w:val="00FF3209"/>
    <w:rsid w:val="00FF47EC"/>
    <w:rsid w:val="00FF5A4D"/>
    <w:rsid w:val="00FF6489"/>
    <w:rsid w:val="00FF65DB"/>
    <w:rsid w:val="00FF72CA"/>
    <w:rsid w:val="00FF79B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E88E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E24"/>
    <w:pPr>
      <w:spacing w:after="240" w:line="360" w:lineRule="auto"/>
      <w:jc w:val="both"/>
    </w:pPr>
    <w:rPr>
      <w:rFonts w:ascii="Times New Roman" w:hAnsi="Times New Roman"/>
    </w:rPr>
  </w:style>
  <w:style w:type="paragraph" w:styleId="Heading1">
    <w:name w:val="heading 1"/>
    <w:basedOn w:val="Normal"/>
    <w:next w:val="Normal"/>
    <w:link w:val="Heading1Char"/>
    <w:uiPriority w:val="9"/>
    <w:qFormat/>
    <w:rsid w:val="00667E24"/>
    <w:pPr>
      <w:keepNext/>
      <w:keepLines/>
      <w:spacing w:before="480" w:after="360"/>
      <w:jc w:val="center"/>
      <w:outlineLvl w:val="0"/>
    </w:pPr>
    <w:rPr>
      <w:rFonts w:eastAsiaTheme="majorEastAsia" w:cs="Times New Roman (Headings CS)"/>
      <w:b/>
      <w:bCs/>
      <w:caps/>
      <w:color w:val="000000" w:themeColor="text1"/>
      <w:szCs w:val="28"/>
    </w:rPr>
  </w:style>
  <w:style w:type="paragraph" w:styleId="Heading2">
    <w:name w:val="heading 2"/>
    <w:basedOn w:val="Normal"/>
    <w:next w:val="Normal"/>
    <w:link w:val="Heading2Char"/>
    <w:uiPriority w:val="9"/>
    <w:unhideWhenUsed/>
    <w:qFormat/>
    <w:rsid w:val="00667E24"/>
    <w:pPr>
      <w:keepNext/>
      <w:keepLines/>
      <w:spacing w:before="240"/>
      <w:jc w:val="left"/>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jc w:val="center"/>
      <w:outlineLvl w:val="6"/>
    </w:pPr>
    <w:rPr>
      <w:rFonts w:asciiTheme="majorBidi" w:eastAsia="SimSun" w:hAnsiTheme="majorBidi" w:cstheme="majorBidi"/>
      <w:b/>
      <w:sz w:val="24"/>
      <w:szCs w:val="24"/>
    </w:rPr>
  </w:style>
  <w:style w:type="paragraph" w:styleId="Heading8">
    <w:name w:val="heading 8"/>
    <w:basedOn w:val="Normal"/>
    <w:next w:val="Normal"/>
    <w:link w:val="Heading8Char"/>
    <w:uiPriority w:val="9"/>
    <w:semiHidden/>
    <w:unhideWhenUsed/>
    <w:qFormat/>
    <w:rsid w:val="00CC1659"/>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667E24"/>
    <w:rPr>
      <w:rFonts w:ascii="Times New Roman" w:eastAsiaTheme="majorEastAsia" w:hAnsi="Times New Roman" w:cs="Times New Roman (Headings CS)"/>
      <w:b/>
      <w:bCs/>
      <w:caps/>
      <w:color w:val="000000" w:themeColor="text1"/>
      <w:szCs w:val="28"/>
    </w:rPr>
  </w:style>
  <w:style w:type="character" w:customStyle="1" w:styleId="Heading2Char">
    <w:name w:val="Heading 2 Char"/>
    <w:basedOn w:val="DefaultParagraphFont"/>
    <w:link w:val="Heading2"/>
    <w:uiPriority w:val="9"/>
    <w:rsid w:val="00667E24"/>
    <w:rPr>
      <w:rFonts w:ascii="Times New Roman" w:eastAsiaTheme="majorEastAsia" w:hAnsi="Times New Roman" w:cstheme="majorBidi"/>
      <w:b/>
      <w:bCs/>
      <w:color w:val="000000" w:themeColor="text1"/>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paras,List Paragraph1,List Paragraph11,L,Recommendation,CV text,Table text,Colorful List - Accent 11,COOP,Primary Bullet List"/>
    <w:basedOn w:val="Normal"/>
    <w:link w:val="ListParagraphChar"/>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eastAsia="MS Mincho"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ind w:left="720" w:hanging="720"/>
    </w:pPr>
    <w:rPr>
      <w:rFonts w:eastAsia="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character" w:styleId="FollowedHyperlink">
    <w:name w:val="FollowedHyperlink"/>
    <w:basedOn w:val="DefaultParagraphFont"/>
    <w:uiPriority w:val="99"/>
    <w:semiHidden/>
    <w:unhideWhenUsed/>
    <w:rsid w:val="0096659A"/>
    <w:rPr>
      <w:color w:val="800080" w:themeColor="followedHyperlink"/>
      <w:u w:val="single"/>
    </w:rPr>
  </w:style>
  <w:style w:type="table" w:customStyle="1" w:styleId="GevityStandardTable">
    <w:name w:val="Gevity Standard Table"/>
    <w:basedOn w:val="TableProfessional"/>
    <w:uiPriority w:val="99"/>
    <w:rsid w:val="00D65A87"/>
    <w:pPr>
      <w:spacing w:after="0" w:line="240" w:lineRule="auto"/>
    </w:pPr>
    <w:rPr>
      <w:rFonts w:ascii="Lato" w:eastAsia="Lato" w:hAnsi="Lato" w:cs="Lato"/>
      <w:sz w:val="20"/>
      <w:szCs w:val="20"/>
      <w:lang w:val="en-CA" w:eastAsia="en-NZ"/>
    </w:rPr>
    <w:tblPr>
      <w:tblBorders>
        <w:top w:val="single" w:sz="4" w:space="0" w:color="21378D"/>
        <w:left w:val="single" w:sz="4" w:space="0" w:color="21378D"/>
        <w:bottom w:val="single" w:sz="4" w:space="0" w:color="21378D"/>
        <w:right w:val="single" w:sz="4" w:space="0" w:color="21378D"/>
        <w:insideH w:val="single" w:sz="4" w:space="0" w:color="21378D"/>
        <w:insideV w:val="single" w:sz="4" w:space="0" w:color="21378D"/>
      </w:tblBorders>
      <w:tblCellMar>
        <w:top w:w="57" w:type="dxa"/>
        <w:bottom w:w="57" w:type="dxa"/>
      </w:tblCellMar>
    </w:tblPr>
    <w:tcPr>
      <w:shd w:val="clear" w:color="auto" w:fill="auto"/>
    </w:tcPr>
    <w:tblStylePr w:type="firstRow">
      <w:pPr>
        <w:wordWrap/>
        <w:spacing w:beforeLines="0" w:before="0" w:beforeAutospacing="0" w:afterLines="0" w:after="0" w:afterAutospacing="0"/>
      </w:pPr>
      <w:rPr>
        <w:rFonts w:ascii="Noto Sans Symbols" w:hAnsi="Noto Sans Symbols"/>
        <w:b/>
        <w:bCs/>
        <w:color w:val="FFFFFF" w:themeColor="background1"/>
        <w:sz w:val="20"/>
      </w:rPr>
      <w:tblPr/>
      <w:trPr>
        <w:tblHeader/>
      </w:trPr>
      <w:tcPr>
        <w:tcBorders>
          <w:top w:val="nil"/>
          <w:left w:val="nil"/>
          <w:bottom w:val="nil"/>
          <w:right w:val="nil"/>
          <w:insideH w:val="nil"/>
          <w:insideV w:val="nil"/>
          <w:tl2br w:val="nil"/>
          <w:tr2bl w:val="nil"/>
        </w:tcBorders>
        <w:shd w:val="clear" w:color="auto" w:fill="21378D"/>
        <w:vAlign w:val="center"/>
      </w:tcPr>
    </w:tblStylePr>
    <w:tblStylePr w:type="lastRow">
      <w:rPr>
        <w:b/>
      </w:rPr>
    </w:tblStylePr>
    <w:tblStylePr w:type="firstCol">
      <w:rPr>
        <w:b/>
      </w:rPr>
      <w:tblPr/>
      <w:tcPr>
        <w:tcBorders>
          <w:top w:val="nil"/>
          <w:left w:val="nil"/>
          <w:bottom w:val="nil"/>
          <w:right w:val="nil"/>
          <w:insideH w:val="nil"/>
          <w:insideV w:val="nil"/>
          <w:tl2br w:val="nil"/>
          <w:tr2bl w:val="nil"/>
        </w:tcBorders>
        <w:shd w:val="clear" w:color="auto" w:fill="79BCE9"/>
      </w:tcPr>
    </w:tblStylePr>
  </w:style>
  <w:style w:type="table" w:styleId="TableProfessional">
    <w:name w:val="Table Professional"/>
    <w:basedOn w:val="TableNormal"/>
    <w:uiPriority w:val="99"/>
    <w:semiHidden/>
    <w:unhideWhenUsed/>
    <w:rsid w:val="00D65A8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ListParagraphChar">
    <w:name w:val="List Paragraph Char"/>
    <w:aliases w:val="Bullet paras Char,List Paragraph1 Char,List Paragraph11 Char,L Char,Recommendation Char,CV text Char,Table text Char,Colorful List - Accent 11 Char,COOP Char,Primary Bullet List Char"/>
    <w:link w:val="ListParagraph"/>
    <w:uiPriority w:val="34"/>
    <w:rsid w:val="00D1715C"/>
  </w:style>
  <w:style w:type="character" w:customStyle="1" w:styleId="UnresolvedMention1">
    <w:name w:val="Unresolved Mention1"/>
    <w:basedOn w:val="DefaultParagraphFont"/>
    <w:uiPriority w:val="99"/>
    <w:semiHidden/>
    <w:unhideWhenUsed/>
    <w:rsid w:val="00073CE9"/>
    <w:rPr>
      <w:color w:val="605E5C"/>
      <w:shd w:val="clear" w:color="auto" w:fill="E1DFDD"/>
    </w:rPr>
  </w:style>
  <w:style w:type="character" w:customStyle="1" w:styleId="UnresolvedMention2">
    <w:name w:val="Unresolved Mention2"/>
    <w:basedOn w:val="DefaultParagraphFont"/>
    <w:uiPriority w:val="99"/>
    <w:semiHidden/>
    <w:unhideWhenUsed/>
    <w:rsid w:val="00A926B5"/>
    <w:rPr>
      <w:color w:val="605E5C"/>
      <w:shd w:val="clear" w:color="auto" w:fill="E1DFDD"/>
    </w:rPr>
  </w:style>
  <w:style w:type="character" w:customStyle="1" w:styleId="UnresolvedMention3">
    <w:name w:val="Unresolved Mention3"/>
    <w:basedOn w:val="DefaultParagraphFont"/>
    <w:uiPriority w:val="99"/>
    <w:semiHidden/>
    <w:unhideWhenUsed/>
    <w:rsid w:val="006C262A"/>
    <w:rPr>
      <w:color w:val="605E5C"/>
      <w:shd w:val="clear" w:color="auto" w:fill="E1DFDD"/>
    </w:rPr>
  </w:style>
  <w:style w:type="character" w:customStyle="1" w:styleId="Heading8Char">
    <w:name w:val="Heading 8 Char"/>
    <w:basedOn w:val="DefaultParagraphFont"/>
    <w:link w:val="Heading8"/>
    <w:uiPriority w:val="9"/>
    <w:semiHidden/>
    <w:rsid w:val="00CC1659"/>
    <w:rPr>
      <w:rFonts w:asciiTheme="majorHAnsi" w:eastAsiaTheme="majorEastAsia" w:hAnsiTheme="majorHAnsi" w:cstheme="majorBidi"/>
      <w:color w:val="404040" w:themeColor="text1" w:themeTint="BF"/>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E24"/>
    <w:pPr>
      <w:spacing w:after="240" w:line="360" w:lineRule="auto"/>
      <w:jc w:val="both"/>
    </w:pPr>
    <w:rPr>
      <w:rFonts w:ascii="Times New Roman" w:hAnsi="Times New Roman"/>
    </w:rPr>
  </w:style>
  <w:style w:type="paragraph" w:styleId="Heading1">
    <w:name w:val="heading 1"/>
    <w:basedOn w:val="Normal"/>
    <w:next w:val="Normal"/>
    <w:link w:val="Heading1Char"/>
    <w:uiPriority w:val="9"/>
    <w:qFormat/>
    <w:rsid w:val="00667E24"/>
    <w:pPr>
      <w:keepNext/>
      <w:keepLines/>
      <w:spacing w:before="480" w:after="360"/>
      <w:jc w:val="center"/>
      <w:outlineLvl w:val="0"/>
    </w:pPr>
    <w:rPr>
      <w:rFonts w:eastAsiaTheme="majorEastAsia" w:cs="Times New Roman (Headings CS)"/>
      <w:b/>
      <w:bCs/>
      <w:caps/>
      <w:color w:val="000000" w:themeColor="text1"/>
      <w:szCs w:val="28"/>
    </w:rPr>
  </w:style>
  <w:style w:type="paragraph" w:styleId="Heading2">
    <w:name w:val="heading 2"/>
    <w:basedOn w:val="Normal"/>
    <w:next w:val="Normal"/>
    <w:link w:val="Heading2Char"/>
    <w:uiPriority w:val="9"/>
    <w:unhideWhenUsed/>
    <w:qFormat/>
    <w:rsid w:val="00667E24"/>
    <w:pPr>
      <w:keepNext/>
      <w:keepLines/>
      <w:spacing w:before="240"/>
      <w:jc w:val="left"/>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jc w:val="center"/>
      <w:outlineLvl w:val="6"/>
    </w:pPr>
    <w:rPr>
      <w:rFonts w:asciiTheme="majorBidi" w:eastAsia="SimSun" w:hAnsiTheme="majorBidi" w:cstheme="majorBidi"/>
      <w:b/>
      <w:sz w:val="24"/>
      <w:szCs w:val="24"/>
    </w:rPr>
  </w:style>
  <w:style w:type="paragraph" w:styleId="Heading8">
    <w:name w:val="heading 8"/>
    <w:basedOn w:val="Normal"/>
    <w:next w:val="Normal"/>
    <w:link w:val="Heading8Char"/>
    <w:uiPriority w:val="9"/>
    <w:semiHidden/>
    <w:unhideWhenUsed/>
    <w:qFormat/>
    <w:rsid w:val="00CC1659"/>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667E24"/>
    <w:rPr>
      <w:rFonts w:ascii="Times New Roman" w:eastAsiaTheme="majorEastAsia" w:hAnsi="Times New Roman" w:cs="Times New Roman (Headings CS)"/>
      <w:b/>
      <w:bCs/>
      <w:caps/>
      <w:color w:val="000000" w:themeColor="text1"/>
      <w:szCs w:val="28"/>
    </w:rPr>
  </w:style>
  <w:style w:type="character" w:customStyle="1" w:styleId="Heading2Char">
    <w:name w:val="Heading 2 Char"/>
    <w:basedOn w:val="DefaultParagraphFont"/>
    <w:link w:val="Heading2"/>
    <w:uiPriority w:val="9"/>
    <w:rsid w:val="00667E24"/>
    <w:rPr>
      <w:rFonts w:ascii="Times New Roman" w:eastAsiaTheme="majorEastAsia" w:hAnsi="Times New Roman" w:cstheme="majorBidi"/>
      <w:b/>
      <w:bCs/>
      <w:color w:val="000000" w:themeColor="text1"/>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paras,List Paragraph1,List Paragraph11,L,Recommendation,CV text,Table text,Colorful List - Accent 11,COOP,Primary Bullet List"/>
    <w:basedOn w:val="Normal"/>
    <w:link w:val="ListParagraphChar"/>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eastAsia="MS Mincho"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ind w:left="720" w:hanging="720"/>
    </w:pPr>
    <w:rPr>
      <w:rFonts w:eastAsia="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character" w:styleId="FollowedHyperlink">
    <w:name w:val="FollowedHyperlink"/>
    <w:basedOn w:val="DefaultParagraphFont"/>
    <w:uiPriority w:val="99"/>
    <w:semiHidden/>
    <w:unhideWhenUsed/>
    <w:rsid w:val="0096659A"/>
    <w:rPr>
      <w:color w:val="800080" w:themeColor="followedHyperlink"/>
      <w:u w:val="single"/>
    </w:rPr>
  </w:style>
  <w:style w:type="table" w:customStyle="1" w:styleId="GevityStandardTable">
    <w:name w:val="Gevity Standard Table"/>
    <w:basedOn w:val="TableProfessional"/>
    <w:uiPriority w:val="99"/>
    <w:rsid w:val="00D65A87"/>
    <w:pPr>
      <w:spacing w:after="0" w:line="240" w:lineRule="auto"/>
    </w:pPr>
    <w:rPr>
      <w:rFonts w:ascii="Lato" w:eastAsia="Lato" w:hAnsi="Lato" w:cs="Lato"/>
      <w:sz w:val="20"/>
      <w:szCs w:val="20"/>
      <w:lang w:val="en-CA" w:eastAsia="en-NZ"/>
    </w:rPr>
    <w:tblPr>
      <w:tblBorders>
        <w:top w:val="single" w:sz="4" w:space="0" w:color="21378D"/>
        <w:left w:val="single" w:sz="4" w:space="0" w:color="21378D"/>
        <w:bottom w:val="single" w:sz="4" w:space="0" w:color="21378D"/>
        <w:right w:val="single" w:sz="4" w:space="0" w:color="21378D"/>
        <w:insideH w:val="single" w:sz="4" w:space="0" w:color="21378D"/>
        <w:insideV w:val="single" w:sz="4" w:space="0" w:color="21378D"/>
      </w:tblBorders>
      <w:tblCellMar>
        <w:top w:w="57" w:type="dxa"/>
        <w:bottom w:w="57" w:type="dxa"/>
      </w:tblCellMar>
    </w:tblPr>
    <w:tcPr>
      <w:shd w:val="clear" w:color="auto" w:fill="auto"/>
    </w:tcPr>
    <w:tblStylePr w:type="firstRow">
      <w:pPr>
        <w:wordWrap/>
        <w:spacing w:beforeLines="0" w:before="0" w:beforeAutospacing="0" w:afterLines="0" w:after="0" w:afterAutospacing="0"/>
      </w:pPr>
      <w:rPr>
        <w:rFonts w:ascii="Noto Sans Symbols" w:hAnsi="Noto Sans Symbols"/>
        <w:b/>
        <w:bCs/>
        <w:color w:val="FFFFFF" w:themeColor="background1"/>
        <w:sz w:val="20"/>
      </w:rPr>
      <w:tblPr/>
      <w:trPr>
        <w:tblHeader/>
      </w:trPr>
      <w:tcPr>
        <w:tcBorders>
          <w:top w:val="nil"/>
          <w:left w:val="nil"/>
          <w:bottom w:val="nil"/>
          <w:right w:val="nil"/>
          <w:insideH w:val="nil"/>
          <w:insideV w:val="nil"/>
          <w:tl2br w:val="nil"/>
          <w:tr2bl w:val="nil"/>
        </w:tcBorders>
        <w:shd w:val="clear" w:color="auto" w:fill="21378D"/>
        <w:vAlign w:val="center"/>
      </w:tcPr>
    </w:tblStylePr>
    <w:tblStylePr w:type="lastRow">
      <w:rPr>
        <w:b/>
      </w:rPr>
    </w:tblStylePr>
    <w:tblStylePr w:type="firstCol">
      <w:rPr>
        <w:b/>
      </w:rPr>
      <w:tblPr/>
      <w:tcPr>
        <w:tcBorders>
          <w:top w:val="nil"/>
          <w:left w:val="nil"/>
          <w:bottom w:val="nil"/>
          <w:right w:val="nil"/>
          <w:insideH w:val="nil"/>
          <w:insideV w:val="nil"/>
          <w:tl2br w:val="nil"/>
          <w:tr2bl w:val="nil"/>
        </w:tcBorders>
        <w:shd w:val="clear" w:color="auto" w:fill="79BCE9"/>
      </w:tcPr>
    </w:tblStylePr>
  </w:style>
  <w:style w:type="table" w:styleId="TableProfessional">
    <w:name w:val="Table Professional"/>
    <w:basedOn w:val="TableNormal"/>
    <w:uiPriority w:val="99"/>
    <w:semiHidden/>
    <w:unhideWhenUsed/>
    <w:rsid w:val="00D65A8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ListParagraphChar">
    <w:name w:val="List Paragraph Char"/>
    <w:aliases w:val="Bullet paras Char,List Paragraph1 Char,List Paragraph11 Char,L Char,Recommendation Char,CV text Char,Table text Char,Colorful List - Accent 11 Char,COOP Char,Primary Bullet List Char"/>
    <w:link w:val="ListParagraph"/>
    <w:uiPriority w:val="34"/>
    <w:rsid w:val="00D1715C"/>
  </w:style>
  <w:style w:type="character" w:customStyle="1" w:styleId="UnresolvedMention1">
    <w:name w:val="Unresolved Mention1"/>
    <w:basedOn w:val="DefaultParagraphFont"/>
    <w:uiPriority w:val="99"/>
    <w:semiHidden/>
    <w:unhideWhenUsed/>
    <w:rsid w:val="00073CE9"/>
    <w:rPr>
      <w:color w:val="605E5C"/>
      <w:shd w:val="clear" w:color="auto" w:fill="E1DFDD"/>
    </w:rPr>
  </w:style>
  <w:style w:type="character" w:customStyle="1" w:styleId="UnresolvedMention2">
    <w:name w:val="Unresolved Mention2"/>
    <w:basedOn w:val="DefaultParagraphFont"/>
    <w:uiPriority w:val="99"/>
    <w:semiHidden/>
    <w:unhideWhenUsed/>
    <w:rsid w:val="00A926B5"/>
    <w:rPr>
      <w:color w:val="605E5C"/>
      <w:shd w:val="clear" w:color="auto" w:fill="E1DFDD"/>
    </w:rPr>
  </w:style>
  <w:style w:type="character" w:customStyle="1" w:styleId="UnresolvedMention3">
    <w:name w:val="Unresolved Mention3"/>
    <w:basedOn w:val="DefaultParagraphFont"/>
    <w:uiPriority w:val="99"/>
    <w:semiHidden/>
    <w:unhideWhenUsed/>
    <w:rsid w:val="006C262A"/>
    <w:rPr>
      <w:color w:val="605E5C"/>
      <w:shd w:val="clear" w:color="auto" w:fill="E1DFDD"/>
    </w:rPr>
  </w:style>
  <w:style w:type="character" w:customStyle="1" w:styleId="Heading8Char">
    <w:name w:val="Heading 8 Char"/>
    <w:basedOn w:val="DefaultParagraphFont"/>
    <w:link w:val="Heading8"/>
    <w:uiPriority w:val="9"/>
    <w:semiHidden/>
    <w:rsid w:val="00CC1659"/>
    <w:rPr>
      <w:rFonts w:asciiTheme="majorHAnsi" w:eastAsiaTheme="majorEastAsia" w:hAnsiTheme="majorHAnsi" w:cstheme="majorBidi"/>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5151">
      <w:bodyDiv w:val="1"/>
      <w:marLeft w:val="0"/>
      <w:marRight w:val="0"/>
      <w:marTop w:val="0"/>
      <w:marBottom w:val="0"/>
      <w:divBdr>
        <w:top w:val="none" w:sz="0" w:space="0" w:color="auto"/>
        <w:left w:val="none" w:sz="0" w:space="0" w:color="auto"/>
        <w:bottom w:val="none" w:sz="0" w:space="0" w:color="auto"/>
        <w:right w:val="none" w:sz="0" w:space="0" w:color="auto"/>
      </w:divBdr>
    </w:div>
    <w:div w:id="510294893">
      <w:bodyDiv w:val="1"/>
      <w:marLeft w:val="0"/>
      <w:marRight w:val="0"/>
      <w:marTop w:val="0"/>
      <w:marBottom w:val="0"/>
      <w:divBdr>
        <w:top w:val="none" w:sz="0" w:space="0" w:color="auto"/>
        <w:left w:val="none" w:sz="0" w:space="0" w:color="auto"/>
        <w:bottom w:val="none" w:sz="0" w:space="0" w:color="auto"/>
        <w:right w:val="none" w:sz="0" w:space="0" w:color="auto"/>
      </w:divBdr>
    </w:div>
    <w:div w:id="568463297">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sChild>
        <w:div w:id="785269769">
          <w:marLeft w:val="0"/>
          <w:marRight w:val="0"/>
          <w:marTop w:val="0"/>
          <w:marBottom w:val="0"/>
          <w:divBdr>
            <w:top w:val="none" w:sz="0" w:space="0" w:color="auto"/>
            <w:left w:val="none" w:sz="0" w:space="0" w:color="auto"/>
            <w:bottom w:val="none" w:sz="0" w:space="0" w:color="auto"/>
            <w:right w:val="none" w:sz="0" w:space="0" w:color="auto"/>
          </w:divBdr>
          <w:divsChild>
            <w:div w:id="877739277">
              <w:marLeft w:val="0"/>
              <w:marRight w:val="0"/>
              <w:marTop w:val="0"/>
              <w:marBottom w:val="0"/>
              <w:divBdr>
                <w:top w:val="none" w:sz="0" w:space="0" w:color="auto"/>
                <w:left w:val="none" w:sz="0" w:space="0" w:color="auto"/>
                <w:bottom w:val="none" w:sz="0" w:space="0" w:color="auto"/>
                <w:right w:val="none" w:sz="0" w:space="0" w:color="auto"/>
              </w:divBdr>
              <w:divsChild>
                <w:div w:id="1355692831">
                  <w:marLeft w:val="0"/>
                  <w:marRight w:val="0"/>
                  <w:marTop w:val="0"/>
                  <w:marBottom w:val="0"/>
                  <w:divBdr>
                    <w:top w:val="none" w:sz="0" w:space="0" w:color="auto"/>
                    <w:left w:val="none" w:sz="0" w:space="0" w:color="auto"/>
                    <w:bottom w:val="none" w:sz="0" w:space="0" w:color="auto"/>
                    <w:right w:val="none" w:sz="0" w:space="0" w:color="auto"/>
                  </w:divBdr>
                  <w:divsChild>
                    <w:div w:id="166805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615724">
      <w:bodyDiv w:val="1"/>
      <w:marLeft w:val="0"/>
      <w:marRight w:val="0"/>
      <w:marTop w:val="0"/>
      <w:marBottom w:val="0"/>
      <w:divBdr>
        <w:top w:val="none" w:sz="0" w:space="0" w:color="auto"/>
        <w:left w:val="none" w:sz="0" w:space="0" w:color="auto"/>
        <w:bottom w:val="none" w:sz="0" w:space="0" w:color="auto"/>
        <w:right w:val="none" w:sz="0" w:space="0" w:color="auto"/>
      </w:divBdr>
      <w:divsChild>
        <w:div w:id="1465537336">
          <w:marLeft w:val="0"/>
          <w:marRight w:val="0"/>
          <w:marTop w:val="0"/>
          <w:marBottom w:val="0"/>
          <w:divBdr>
            <w:top w:val="none" w:sz="0" w:space="0" w:color="auto"/>
            <w:left w:val="none" w:sz="0" w:space="0" w:color="auto"/>
            <w:bottom w:val="none" w:sz="0" w:space="0" w:color="auto"/>
            <w:right w:val="none" w:sz="0" w:space="0" w:color="auto"/>
          </w:divBdr>
        </w:div>
        <w:div w:id="1991404277">
          <w:marLeft w:val="0"/>
          <w:marRight w:val="0"/>
          <w:marTop w:val="0"/>
          <w:marBottom w:val="150"/>
          <w:divBdr>
            <w:top w:val="none" w:sz="0" w:space="0" w:color="auto"/>
            <w:left w:val="none" w:sz="0" w:space="0" w:color="auto"/>
            <w:bottom w:val="none" w:sz="0" w:space="0" w:color="auto"/>
            <w:right w:val="none" w:sz="0" w:space="0" w:color="auto"/>
          </w:divBdr>
        </w:div>
      </w:divsChild>
    </w:div>
    <w:div w:id="661663803">
      <w:bodyDiv w:val="1"/>
      <w:marLeft w:val="0"/>
      <w:marRight w:val="0"/>
      <w:marTop w:val="0"/>
      <w:marBottom w:val="0"/>
      <w:divBdr>
        <w:top w:val="none" w:sz="0" w:space="0" w:color="auto"/>
        <w:left w:val="none" w:sz="0" w:space="0" w:color="auto"/>
        <w:bottom w:val="none" w:sz="0" w:space="0" w:color="auto"/>
        <w:right w:val="none" w:sz="0" w:space="0" w:color="auto"/>
      </w:divBdr>
    </w:div>
    <w:div w:id="978415232">
      <w:bodyDiv w:val="1"/>
      <w:marLeft w:val="0"/>
      <w:marRight w:val="0"/>
      <w:marTop w:val="0"/>
      <w:marBottom w:val="0"/>
      <w:divBdr>
        <w:top w:val="none" w:sz="0" w:space="0" w:color="auto"/>
        <w:left w:val="none" w:sz="0" w:space="0" w:color="auto"/>
        <w:bottom w:val="none" w:sz="0" w:space="0" w:color="auto"/>
        <w:right w:val="none" w:sz="0" w:space="0" w:color="auto"/>
      </w:divBdr>
    </w:div>
    <w:div w:id="1011488551">
      <w:bodyDiv w:val="1"/>
      <w:marLeft w:val="0"/>
      <w:marRight w:val="0"/>
      <w:marTop w:val="0"/>
      <w:marBottom w:val="0"/>
      <w:divBdr>
        <w:top w:val="none" w:sz="0" w:space="0" w:color="auto"/>
        <w:left w:val="none" w:sz="0" w:space="0" w:color="auto"/>
        <w:bottom w:val="none" w:sz="0" w:space="0" w:color="auto"/>
        <w:right w:val="none" w:sz="0" w:space="0" w:color="auto"/>
      </w:divBdr>
    </w:div>
    <w:div w:id="1054305846">
      <w:bodyDiv w:val="1"/>
      <w:marLeft w:val="0"/>
      <w:marRight w:val="0"/>
      <w:marTop w:val="0"/>
      <w:marBottom w:val="0"/>
      <w:divBdr>
        <w:top w:val="none" w:sz="0" w:space="0" w:color="auto"/>
        <w:left w:val="none" w:sz="0" w:space="0" w:color="auto"/>
        <w:bottom w:val="none" w:sz="0" w:space="0" w:color="auto"/>
        <w:right w:val="none" w:sz="0" w:space="0" w:color="auto"/>
      </w:divBdr>
    </w:div>
    <w:div w:id="1485509262">
      <w:bodyDiv w:val="1"/>
      <w:marLeft w:val="0"/>
      <w:marRight w:val="0"/>
      <w:marTop w:val="0"/>
      <w:marBottom w:val="0"/>
      <w:divBdr>
        <w:top w:val="none" w:sz="0" w:space="0" w:color="auto"/>
        <w:left w:val="none" w:sz="0" w:space="0" w:color="auto"/>
        <w:bottom w:val="none" w:sz="0" w:space="0" w:color="auto"/>
        <w:right w:val="none" w:sz="0" w:space="0" w:color="auto"/>
      </w:divBdr>
    </w:div>
    <w:div w:id="1759211561">
      <w:bodyDiv w:val="1"/>
      <w:marLeft w:val="0"/>
      <w:marRight w:val="0"/>
      <w:marTop w:val="0"/>
      <w:marBottom w:val="0"/>
      <w:divBdr>
        <w:top w:val="none" w:sz="0" w:space="0" w:color="auto"/>
        <w:left w:val="none" w:sz="0" w:space="0" w:color="auto"/>
        <w:bottom w:val="none" w:sz="0" w:space="0" w:color="auto"/>
        <w:right w:val="none" w:sz="0" w:space="0" w:color="auto"/>
      </w:divBdr>
      <w:divsChild>
        <w:div w:id="340161333">
          <w:marLeft w:val="0"/>
          <w:marRight w:val="0"/>
          <w:marTop w:val="0"/>
          <w:marBottom w:val="0"/>
          <w:divBdr>
            <w:top w:val="none" w:sz="0" w:space="0" w:color="auto"/>
            <w:left w:val="none" w:sz="0" w:space="0" w:color="auto"/>
            <w:bottom w:val="none" w:sz="0" w:space="0" w:color="auto"/>
            <w:right w:val="none" w:sz="0" w:space="0" w:color="auto"/>
          </w:divBdr>
          <w:divsChild>
            <w:div w:id="828792856">
              <w:marLeft w:val="0"/>
              <w:marRight w:val="0"/>
              <w:marTop w:val="0"/>
              <w:marBottom w:val="0"/>
              <w:divBdr>
                <w:top w:val="none" w:sz="0" w:space="0" w:color="auto"/>
                <w:left w:val="none" w:sz="0" w:space="0" w:color="auto"/>
                <w:bottom w:val="none" w:sz="0" w:space="0" w:color="auto"/>
                <w:right w:val="none" w:sz="0" w:space="0" w:color="auto"/>
              </w:divBdr>
              <w:divsChild>
                <w:div w:id="95271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898619">
      <w:bodyDiv w:val="1"/>
      <w:marLeft w:val="0"/>
      <w:marRight w:val="0"/>
      <w:marTop w:val="0"/>
      <w:marBottom w:val="0"/>
      <w:divBdr>
        <w:top w:val="none" w:sz="0" w:space="0" w:color="auto"/>
        <w:left w:val="none" w:sz="0" w:space="0" w:color="auto"/>
        <w:bottom w:val="none" w:sz="0" w:space="0" w:color="auto"/>
        <w:right w:val="none" w:sz="0" w:space="0" w:color="auto"/>
      </w:divBdr>
      <w:divsChild>
        <w:div w:id="450979418">
          <w:marLeft w:val="547"/>
          <w:marRight w:val="0"/>
          <w:marTop w:val="200"/>
          <w:marBottom w:val="0"/>
          <w:divBdr>
            <w:top w:val="none" w:sz="0" w:space="0" w:color="auto"/>
            <w:left w:val="none" w:sz="0" w:space="0" w:color="auto"/>
            <w:bottom w:val="none" w:sz="0" w:space="0" w:color="auto"/>
            <w:right w:val="none" w:sz="0" w:space="0" w:color="auto"/>
          </w:divBdr>
        </w:div>
        <w:div w:id="522550286">
          <w:marLeft w:val="547"/>
          <w:marRight w:val="0"/>
          <w:marTop w:val="200"/>
          <w:marBottom w:val="0"/>
          <w:divBdr>
            <w:top w:val="none" w:sz="0" w:space="0" w:color="auto"/>
            <w:left w:val="none" w:sz="0" w:space="0" w:color="auto"/>
            <w:bottom w:val="none" w:sz="0" w:space="0" w:color="auto"/>
            <w:right w:val="none" w:sz="0" w:space="0" w:color="auto"/>
          </w:divBdr>
        </w:div>
        <w:div w:id="608971031">
          <w:marLeft w:val="547"/>
          <w:marRight w:val="0"/>
          <w:marTop w:val="200"/>
          <w:marBottom w:val="0"/>
          <w:divBdr>
            <w:top w:val="none" w:sz="0" w:space="0" w:color="auto"/>
            <w:left w:val="none" w:sz="0" w:space="0" w:color="auto"/>
            <w:bottom w:val="none" w:sz="0" w:space="0" w:color="auto"/>
            <w:right w:val="none" w:sz="0" w:space="0" w:color="auto"/>
          </w:divBdr>
        </w:div>
        <w:div w:id="1472483689">
          <w:marLeft w:val="547"/>
          <w:marRight w:val="0"/>
          <w:marTop w:val="200"/>
          <w:marBottom w:val="0"/>
          <w:divBdr>
            <w:top w:val="none" w:sz="0" w:space="0" w:color="auto"/>
            <w:left w:val="none" w:sz="0" w:space="0" w:color="auto"/>
            <w:bottom w:val="none" w:sz="0" w:space="0" w:color="auto"/>
            <w:right w:val="none" w:sz="0" w:space="0" w:color="auto"/>
          </w:divBdr>
        </w:div>
        <w:div w:id="2124618021">
          <w:marLeft w:val="547"/>
          <w:marRight w:val="0"/>
          <w:marTop w:val="200"/>
          <w:marBottom w:val="0"/>
          <w:divBdr>
            <w:top w:val="none" w:sz="0" w:space="0" w:color="auto"/>
            <w:left w:val="none" w:sz="0" w:space="0" w:color="auto"/>
            <w:bottom w:val="none" w:sz="0" w:space="0" w:color="auto"/>
            <w:right w:val="none" w:sz="0" w:space="0" w:color="auto"/>
          </w:divBdr>
        </w:div>
      </w:divsChild>
    </w:div>
    <w:div w:id="1967200564">
      <w:bodyDiv w:val="1"/>
      <w:marLeft w:val="0"/>
      <w:marRight w:val="0"/>
      <w:marTop w:val="0"/>
      <w:marBottom w:val="0"/>
      <w:divBdr>
        <w:top w:val="none" w:sz="0" w:space="0" w:color="auto"/>
        <w:left w:val="none" w:sz="0" w:space="0" w:color="auto"/>
        <w:bottom w:val="none" w:sz="0" w:space="0" w:color="auto"/>
        <w:right w:val="none" w:sz="0" w:space="0" w:color="auto"/>
      </w:divBdr>
      <w:divsChild>
        <w:div w:id="788664477">
          <w:marLeft w:val="0"/>
          <w:marRight w:val="0"/>
          <w:marTop w:val="0"/>
          <w:marBottom w:val="0"/>
          <w:divBdr>
            <w:top w:val="none" w:sz="0" w:space="0" w:color="auto"/>
            <w:left w:val="none" w:sz="0" w:space="0" w:color="auto"/>
            <w:bottom w:val="none" w:sz="0" w:space="0" w:color="auto"/>
            <w:right w:val="none" w:sz="0" w:space="0" w:color="auto"/>
          </w:divBdr>
          <w:divsChild>
            <w:div w:id="102237359">
              <w:marLeft w:val="0"/>
              <w:marRight w:val="0"/>
              <w:marTop w:val="0"/>
              <w:marBottom w:val="0"/>
              <w:divBdr>
                <w:top w:val="none" w:sz="0" w:space="0" w:color="auto"/>
                <w:left w:val="none" w:sz="0" w:space="0" w:color="auto"/>
                <w:bottom w:val="none" w:sz="0" w:space="0" w:color="auto"/>
                <w:right w:val="none" w:sz="0" w:space="0" w:color="auto"/>
              </w:divBdr>
              <w:divsChild>
                <w:div w:id="586773065">
                  <w:marLeft w:val="0"/>
                  <w:marRight w:val="0"/>
                  <w:marTop w:val="0"/>
                  <w:marBottom w:val="0"/>
                  <w:divBdr>
                    <w:top w:val="none" w:sz="0" w:space="0" w:color="auto"/>
                    <w:left w:val="none" w:sz="0" w:space="0" w:color="auto"/>
                    <w:bottom w:val="none" w:sz="0" w:space="0" w:color="auto"/>
                    <w:right w:val="none" w:sz="0" w:space="0" w:color="auto"/>
                  </w:divBdr>
                  <w:divsChild>
                    <w:div w:id="1960451522">
                      <w:marLeft w:val="0"/>
                      <w:marRight w:val="0"/>
                      <w:marTop w:val="0"/>
                      <w:marBottom w:val="0"/>
                      <w:divBdr>
                        <w:top w:val="none" w:sz="0" w:space="0" w:color="auto"/>
                        <w:left w:val="none" w:sz="0" w:space="0" w:color="auto"/>
                        <w:bottom w:val="none" w:sz="0" w:space="0" w:color="auto"/>
                        <w:right w:val="none" w:sz="0" w:space="0" w:color="auto"/>
                      </w:divBdr>
                      <w:divsChild>
                        <w:div w:id="253711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941035">
                  <w:marLeft w:val="0"/>
                  <w:marRight w:val="0"/>
                  <w:marTop w:val="0"/>
                  <w:marBottom w:val="0"/>
                  <w:divBdr>
                    <w:top w:val="none" w:sz="0" w:space="0" w:color="auto"/>
                    <w:left w:val="none" w:sz="0" w:space="0" w:color="auto"/>
                    <w:bottom w:val="none" w:sz="0" w:space="0" w:color="auto"/>
                    <w:right w:val="none" w:sz="0" w:space="0" w:color="auto"/>
                  </w:divBdr>
                  <w:divsChild>
                    <w:div w:id="1787045323">
                      <w:marLeft w:val="0"/>
                      <w:marRight w:val="0"/>
                      <w:marTop w:val="0"/>
                      <w:marBottom w:val="0"/>
                      <w:divBdr>
                        <w:top w:val="none" w:sz="0" w:space="0" w:color="auto"/>
                        <w:left w:val="none" w:sz="0" w:space="0" w:color="auto"/>
                        <w:bottom w:val="none" w:sz="0" w:space="0" w:color="auto"/>
                        <w:right w:val="none" w:sz="0" w:space="0" w:color="auto"/>
                      </w:divBdr>
                      <w:divsChild>
                        <w:div w:id="1866020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2342004">
      <w:bodyDiv w:val="1"/>
      <w:marLeft w:val="0"/>
      <w:marRight w:val="0"/>
      <w:marTop w:val="0"/>
      <w:marBottom w:val="0"/>
      <w:divBdr>
        <w:top w:val="none" w:sz="0" w:space="0" w:color="auto"/>
        <w:left w:val="none" w:sz="0" w:space="0" w:color="auto"/>
        <w:bottom w:val="none" w:sz="0" w:space="0" w:color="auto"/>
        <w:right w:val="none" w:sz="0" w:space="0" w:color="auto"/>
      </w:divBdr>
      <w:divsChild>
        <w:div w:id="500392405">
          <w:marLeft w:val="547"/>
          <w:marRight w:val="0"/>
          <w:marTop w:val="200"/>
          <w:marBottom w:val="0"/>
          <w:divBdr>
            <w:top w:val="none" w:sz="0" w:space="0" w:color="auto"/>
            <w:left w:val="none" w:sz="0" w:space="0" w:color="auto"/>
            <w:bottom w:val="none" w:sz="0" w:space="0" w:color="auto"/>
            <w:right w:val="none" w:sz="0" w:space="0" w:color="auto"/>
          </w:divBdr>
        </w:div>
        <w:div w:id="543370362">
          <w:marLeft w:val="547"/>
          <w:marRight w:val="0"/>
          <w:marTop w:val="200"/>
          <w:marBottom w:val="0"/>
          <w:divBdr>
            <w:top w:val="none" w:sz="0" w:space="0" w:color="auto"/>
            <w:left w:val="none" w:sz="0" w:space="0" w:color="auto"/>
            <w:bottom w:val="none" w:sz="0" w:space="0" w:color="auto"/>
            <w:right w:val="none" w:sz="0" w:space="0" w:color="auto"/>
          </w:divBdr>
        </w:div>
        <w:div w:id="592935992">
          <w:marLeft w:val="547"/>
          <w:marRight w:val="0"/>
          <w:marTop w:val="200"/>
          <w:marBottom w:val="0"/>
          <w:divBdr>
            <w:top w:val="none" w:sz="0" w:space="0" w:color="auto"/>
            <w:left w:val="none" w:sz="0" w:space="0" w:color="auto"/>
            <w:bottom w:val="none" w:sz="0" w:space="0" w:color="auto"/>
            <w:right w:val="none" w:sz="0" w:space="0" w:color="auto"/>
          </w:divBdr>
        </w:div>
        <w:div w:id="599727061">
          <w:marLeft w:val="547"/>
          <w:marRight w:val="0"/>
          <w:marTop w:val="200"/>
          <w:marBottom w:val="0"/>
          <w:divBdr>
            <w:top w:val="none" w:sz="0" w:space="0" w:color="auto"/>
            <w:left w:val="none" w:sz="0" w:space="0" w:color="auto"/>
            <w:bottom w:val="none" w:sz="0" w:space="0" w:color="auto"/>
            <w:right w:val="none" w:sz="0" w:space="0" w:color="auto"/>
          </w:divBdr>
        </w:div>
        <w:div w:id="916861107">
          <w:marLeft w:val="547"/>
          <w:marRight w:val="0"/>
          <w:marTop w:val="200"/>
          <w:marBottom w:val="0"/>
          <w:divBdr>
            <w:top w:val="none" w:sz="0" w:space="0" w:color="auto"/>
            <w:left w:val="none" w:sz="0" w:space="0" w:color="auto"/>
            <w:bottom w:val="none" w:sz="0" w:space="0" w:color="auto"/>
            <w:right w:val="none" w:sz="0" w:space="0" w:color="auto"/>
          </w:divBdr>
        </w:div>
        <w:div w:id="1514420448">
          <w:marLeft w:val="1267"/>
          <w:marRight w:val="0"/>
          <w:marTop w:val="100"/>
          <w:marBottom w:val="0"/>
          <w:divBdr>
            <w:top w:val="none" w:sz="0" w:space="0" w:color="auto"/>
            <w:left w:val="none" w:sz="0" w:space="0" w:color="auto"/>
            <w:bottom w:val="none" w:sz="0" w:space="0" w:color="auto"/>
            <w:right w:val="none" w:sz="0" w:space="0" w:color="auto"/>
          </w:divBdr>
        </w:div>
        <w:div w:id="1869945652">
          <w:marLeft w:val="1267"/>
          <w:marRight w:val="0"/>
          <w:marTop w:val="100"/>
          <w:marBottom w:val="0"/>
          <w:divBdr>
            <w:top w:val="none" w:sz="0" w:space="0" w:color="auto"/>
            <w:left w:val="none" w:sz="0" w:space="0" w:color="auto"/>
            <w:bottom w:val="none" w:sz="0" w:space="0" w:color="auto"/>
            <w:right w:val="none" w:sz="0" w:space="0" w:color="auto"/>
          </w:divBdr>
        </w:div>
        <w:div w:id="1917397431">
          <w:marLeft w:val="126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ris.wpro.who.int/bitstream/handle/10665.1/14275/WPR-RC069-08-eHealth-Ann-2018-fr.pdf"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iris.wpro.who.int/handle/10665.1/1421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ris.wpro.who.int/bitstream/handle/10665.1/14275/WPR-RC069-08-eHealth-Ann-2018-fr.pdf"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wpro.who.int/southpacific/pic_meeting/2017/documents/12thphmm_session01_himf_annex1_french_19aug.pdf"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wpro.who.int/southpacific/pic_meeting/2017/documents/12thphmm_session04_01_his_annex1_24aug.pdf"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ntia.doc.gov/ntiahome/fallingthru.html"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CF24B3B1-BFFE-46F6-8346-1CE55C924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2730</Words>
  <Characters>16491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2019-07-09T10:47:00Z</dcterms:created>
  <dcterms:modified xsi:type="dcterms:W3CDTF">2019-07-27T04:42:00Z</dcterms:modified>
</cp:coreProperties>
</file>